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73B" w:rsidRPr="00B31420" w:rsidRDefault="00B8173B" w:rsidP="00B31420">
      <w:pPr>
        <w:pStyle w:val="ConsPlusTitle"/>
        <w:ind w:left="8647"/>
        <w:rPr>
          <w:rFonts w:ascii="Times New Roman" w:hAnsi="Times New Roman" w:cs="Times New Roman"/>
          <w:b w:val="0"/>
          <w:sz w:val="28"/>
          <w:szCs w:val="28"/>
        </w:rPr>
      </w:pPr>
      <w:bookmarkStart w:id="0" w:name="P0"/>
      <w:bookmarkEnd w:id="0"/>
      <w:r w:rsidRPr="00B31420">
        <w:rPr>
          <w:rFonts w:ascii="Times New Roman" w:hAnsi="Times New Roman" w:cs="Times New Roman"/>
          <w:b w:val="0"/>
          <w:sz w:val="28"/>
          <w:szCs w:val="28"/>
        </w:rPr>
        <w:t>ПРОЕКТ</w:t>
      </w:r>
    </w:p>
    <w:p w:rsidR="00B8173B" w:rsidRPr="00AE47C3" w:rsidRDefault="00B8173B">
      <w:pPr>
        <w:pStyle w:val="ConsPlusTitle"/>
        <w:jc w:val="center"/>
        <w:rPr>
          <w:rFonts w:ascii="Times New Roman" w:hAnsi="Times New Roman" w:cs="Times New Roman"/>
          <w:sz w:val="28"/>
          <w:szCs w:val="28"/>
        </w:rPr>
      </w:pPr>
    </w:p>
    <w:p w:rsidR="00D13A3D" w:rsidRDefault="00D13A3D">
      <w:pPr>
        <w:pStyle w:val="ConsPlusTitle"/>
        <w:jc w:val="center"/>
        <w:rPr>
          <w:rFonts w:ascii="Times New Roman" w:hAnsi="Times New Roman" w:cs="Times New Roman"/>
          <w:sz w:val="28"/>
          <w:szCs w:val="28"/>
        </w:rPr>
      </w:pPr>
    </w:p>
    <w:p w:rsidR="00A50313" w:rsidRPr="00AE47C3" w:rsidRDefault="00B31420">
      <w:pPr>
        <w:pStyle w:val="ConsPlusTitle"/>
        <w:jc w:val="center"/>
        <w:rPr>
          <w:rFonts w:ascii="Times New Roman" w:hAnsi="Times New Roman" w:cs="Times New Roman"/>
          <w:sz w:val="28"/>
          <w:szCs w:val="28"/>
        </w:rPr>
      </w:pPr>
      <w:r w:rsidRPr="00AE47C3">
        <w:rPr>
          <w:rFonts w:ascii="Times New Roman" w:hAnsi="Times New Roman" w:cs="Times New Roman"/>
          <w:sz w:val="28"/>
          <w:szCs w:val="28"/>
        </w:rPr>
        <w:t>МЕТОДИКА</w:t>
      </w:r>
    </w:p>
    <w:p w:rsidR="00A50313" w:rsidRPr="00AE47C3" w:rsidRDefault="00B31420" w:rsidP="00B31420">
      <w:pPr>
        <w:pStyle w:val="ConsPlusTitle"/>
        <w:jc w:val="center"/>
        <w:rPr>
          <w:rFonts w:ascii="Times New Roman" w:hAnsi="Times New Roman" w:cs="Times New Roman"/>
          <w:sz w:val="28"/>
          <w:szCs w:val="28"/>
        </w:rPr>
      </w:pPr>
      <w:r w:rsidRPr="00AE47C3">
        <w:rPr>
          <w:rFonts w:ascii="Times New Roman" w:hAnsi="Times New Roman" w:cs="Times New Roman"/>
          <w:sz w:val="28"/>
          <w:szCs w:val="28"/>
        </w:rPr>
        <w:t>РАСПРЕДЕЛЕНИЯ И ПРАВИЛА ПРЕДОСТАВЛЕНИЯ ИНЫХ МЕЖБЮДЖЕТНЫХ</w:t>
      </w:r>
      <w:r>
        <w:rPr>
          <w:rFonts w:ascii="Times New Roman" w:hAnsi="Times New Roman" w:cs="Times New Roman"/>
          <w:sz w:val="28"/>
          <w:szCs w:val="28"/>
        </w:rPr>
        <w:t xml:space="preserve"> </w:t>
      </w:r>
      <w:r w:rsidRPr="00AE47C3">
        <w:rPr>
          <w:rFonts w:ascii="Times New Roman" w:hAnsi="Times New Roman" w:cs="Times New Roman"/>
          <w:sz w:val="28"/>
          <w:szCs w:val="28"/>
        </w:rPr>
        <w:t>ТРАНСФЕРТОВ НА БЛАГОУСТРОЙСТВО ИСТОРИЧЕСКИХ ЦЕНТРОВ ГОРОДОВ</w:t>
      </w:r>
    </w:p>
    <w:p w:rsidR="00A50313" w:rsidRPr="00AE47C3" w:rsidRDefault="00A50313">
      <w:pPr>
        <w:pStyle w:val="ConsPlusNormal"/>
        <w:jc w:val="both"/>
        <w:outlineLvl w:val="0"/>
        <w:rPr>
          <w:sz w:val="28"/>
          <w:szCs w:val="28"/>
        </w:rPr>
      </w:pPr>
    </w:p>
    <w:p w:rsidR="00A50313" w:rsidRPr="00AE47C3" w:rsidRDefault="00E566EF">
      <w:pPr>
        <w:pStyle w:val="ConsPlusNormal"/>
        <w:ind w:firstLine="540"/>
        <w:contextualSpacing/>
        <w:jc w:val="both"/>
        <w:rPr>
          <w:sz w:val="28"/>
          <w:szCs w:val="28"/>
        </w:rPr>
      </w:pPr>
      <w:r w:rsidRPr="00AE47C3">
        <w:rPr>
          <w:sz w:val="28"/>
          <w:szCs w:val="28"/>
        </w:rPr>
        <w:t>1. Методика распределения и правила предоставления иных межбюджетных трансфертов на благоустройство исторических центров городов (далее - Методика и правила) разработаны в соответствии со статьей 139.1 Бюджетного кодекса</w:t>
      </w:r>
      <w:r w:rsidR="005241D7">
        <w:rPr>
          <w:sz w:val="28"/>
          <w:szCs w:val="28"/>
        </w:rPr>
        <w:t xml:space="preserve"> Российской Федерации, статьей 11</w:t>
      </w:r>
      <w:r w:rsidRPr="00AE47C3">
        <w:rPr>
          <w:sz w:val="28"/>
          <w:szCs w:val="28"/>
        </w:rPr>
        <w:t xml:space="preserve"> </w:t>
      </w:r>
      <w:r w:rsidR="005241D7" w:rsidRPr="005241D7">
        <w:rPr>
          <w:sz w:val="28"/>
          <w:szCs w:val="28"/>
        </w:rPr>
        <w:t>Закон</w:t>
      </w:r>
      <w:r w:rsidR="00C55F33">
        <w:rPr>
          <w:sz w:val="28"/>
          <w:szCs w:val="28"/>
        </w:rPr>
        <w:t>а</w:t>
      </w:r>
      <w:r w:rsidR="005241D7" w:rsidRPr="005241D7">
        <w:rPr>
          <w:sz w:val="28"/>
          <w:szCs w:val="28"/>
        </w:rPr>
        <w:t xml:space="preserve"> Ярославской области от 10.07.2025 N 33-з «О межбюджетных отношениях»</w:t>
      </w:r>
      <w:r w:rsidRPr="00AE47C3">
        <w:rPr>
          <w:sz w:val="28"/>
          <w:szCs w:val="28"/>
        </w:rPr>
        <w:t xml:space="preserve"> и устанавливают порядок предоставления иных межбюджетных трансфертов на благоустройство исторических центров городов (далее - иные межбюджетные трансферты).</w:t>
      </w:r>
    </w:p>
    <w:p w:rsidR="00A50313" w:rsidRPr="00AE47C3" w:rsidRDefault="00E566EF">
      <w:pPr>
        <w:pStyle w:val="ConsPlusNormal"/>
        <w:spacing w:before="240"/>
        <w:ind w:firstLine="540"/>
        <w:contextualSpacing/>
        <w:jc w:val="both"/>
        <w:rPr>
          <w:sz w:val="28"/>
          <w:szCs w:val="28"/>
        </w:rPr>
      </w:pPr>
      <w:r w:rsidRPr="00AE47C3">
        <w:rPr>
          <w:sz w:val="28"/>
          <w:szCs w:val="28"/>
        </w:rPr>
        <w:t>Предоставление иных межбюджетных трансфертов в 2024 году осуществляется в рамках ведомственного проекта "Благоустройство исторических центров городов", с 2025 года - в рамках ведомственного проекта "Улучшение эстетического облика населенных пунктов Ярославской области"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w:t>
      </w:r>
    </w:p>
    <w:p w:rsidR="00A50313" w:rsidRPr="00AE47C3" w:rsidRDefault="00E566EF" w:rsidP="00AE47C3">
      <w:pPr>
        <w:pStyle w:val="ConsPlusNormal"/>
        <w:spacing w:before="240"/>
        <w:ind w:firstLine="540"/>
        <w:contextualSpacing/>
        <w:jc w:val="both"/>
        <w:rPr>
          <w:sz w:val="28"/>
          <w:szCs w:val="28"/>
        </w:rPr>
      </w:pPr>
      <w:r w:rsidRPr="00AE47C3">
        <w:rPr>
          <w:sz w:val="28"/>
          <w:szCs w:val="28"/>
        </w:rPr>
        <w:t>2. Иные межбюджетные трансферты предоставляются для финансирования мероприятий по благоустройству исторических центров городов с численностью населения от 150 тыс. человек.</w:t>
      </w:r>
      <w:bookmarkStart w:id="1" w:name="_GoBack"/>
      <w:bookmarkEnd w:id="1"/>
    </w:p>
    <w:p w:rsidR="00A50313" w:rsidRPr="00AE47C3" w:rsidRDefault="00E566EF">
      <w:pPr>
        <w:pStyle w:val="ConsPlusNormal"/>
        <w:spacing w:before="240"/>
        <w:ind w:firstLine="540"/>
        <w:contextualSpacing/>
        <w:jc w:val="both"/>
        <w:rPr>
          <w:sz w:val="28"/>
          <w:szCs w:val="28"/>
        </w:rPr>
      </w:pPr>
      <w:r w:rsidRPr="00AE47C3">
        <w:rPr>
          <w:sz w:val="28"/>
          <w:szCs w:val="28"/>
        </w:rPr>
        <w:t xml:space="preserve">3. Иные межбюджетные трансферты предусмотрены на </w:t>
      </w:r>
      <w:proofErr w:type="spellStart"/>
      <w:r w:rsidRPr="00AE47C3">
        <w:rPr>
          <w:sz w:val="28"/>
          <w:szCs w:val="28"/>
        </w:rPr>
        <w:t>софинансирование</w:t>
      </w:r>
      <w:proofErr w:type="spellEnd"/>
      <w:r w:rsidRPr="00AE47C3">
        <w:rPr>
          <w:sz w:val="28"/>
          <w:szCs w:val="28"/>
        </w:rPr>
        <w:t xml:space="preserve"> расходных обязательств муниципальных образований Ярославской области (далее - муниципальные образования), возникающих при реализации мероприятий по благоустройству исторических центров городов, включенных в государственную программу Ярославской области "Формирование современной городской среды муниципальных образований на территории Ярославской области" на 2024 - 2030 годы.</w:t>
      </w:r>
    </w:p>
    <w:p w:rsidR="00A50313" w:rsidRPr="00AE47C3" w:rsidRDefault="00E566EF">
      <w:pPr>
        <w:pStyle w:val="ConsPlusNormal"/>
        <w:spacing w:before="240"/>
        <w:ind w:firstLine="540"/>
        <w:contextualSpacing/>
        <w:jc w:val="both"/>
        <w:rPr>
          <w:sz w:val="28"/>
          <w:szCs w:val="28"/>
        </w:rPr>
      </w:pPr>
      <w:r w:rsidRPr="00AE47C3">
        <w:rPr>
          <w:sz w:val="28"/>
          <w:szCs w:val="28"/>
        </w:rPr>
        <w:t>Иные межбюджетные трансферты расходуются:</w:t>
      </w:r>
    </w:p>
    <w:p w:rsidR="00A50313" w:rsidRPr="00AE47C3" w:rsidRDefault="00E566EF">
      <w:pPr>
        <w:pStyle w:val="ConsPlusNormal"/>
        <w:spacing w:before="240"/>
        <w:ind w:firstLine="540"/>
        <w:contextualSpacing/>
        <w:jc w:val="both"/>
        <w:rPr>
          <w:sz w:val="28"/>
          <w:szCs w:val="28"/>
        </w:rPr>
      </w:pPr>
      <w:r w:rsidRPr="00AE47C3">
        <w:rPr>
          <w:sz w:val="28"/>
          <w:szCs w:val="28"/>
        </w:rPr>
        <w:t>- на разработку проектно-сметной документации;</w:t>
      </w:r>
    </w:p>
    <w:p w:rsidR="00A50313" w:rsidRPr="00AE47C3" w:rsidRDefault="00E566EF">
      <w:pPr>
        <w:pStyle w:val="ConsPlusNormal"/>
        <w:spacing w:before="240"/>
        <w:ind w:firstLine="540"/>
        <w:contextualSpacing/>
        <w:jc w:val="both"/>
        <w:rPr>
          <w:sz w:val="28"/>
          <w:szCs w:val="28"/>
        </w:rPr>
      </w:pPr>
      <w:r w:rsidRPr="00AE47C3">
        <w:rPr>
          <w:sz w:val="28"/>
          <w:szCs w:val="28"/>
        </w:rPr>
        <w:t>- на работы по благоустройству исторических центров городов.</w:t>
      </w:r>
    </w:p>
    <w:p w:rsidR="00A50313" w:rsidRPr="00AE47C3" w:rsidRDefault="00E566EF">
      <w:pPr>
        <w:pStyle w:val="ConsPlusNormal"/>
        <w:spacing w:before="240"/>
        <w:ind w:firstLine="540"/>
        <w:contextualSpacing/>
        <w:jc w:val="both"/>
        <w:rPr>
          <w:sz w:val="28"/>
          <w:szCs w:val="28"/>
        </w:rPr>
      </w:pPr>
      <w:r w:rsidRPr="00AE47C3">
        <w:rPr>
          <w:sz w:val="28"/>
          <w:szCs w:val="28"/>
        </w:rPr>
        <w:t>Расходование иных межбюджетных трансфертов осуществляется в том числе:</w:t>
      </w:r>
    </w:p>
    <w:p w:rsidR="00A50313" w:rsidRPr="00AE47C3" w:rsidRDefault="00E566EF">
      <w:pPr>
        <w:pStyle w:val="ConsPlusNormal"/>
        <w:spacing w:before="240"/>
        <w:ind w:firstLine="540"/>
        <w:contextualSpacing/>
        <w:jc w:val="both"/>
        <w:rPr>
          <w:sz w:val="28"/>
          <w:szCs w:val="28"/>
        </w:rPr>
      </w:pPr>
      <w:r w:rsidRPr="00AE47C3">
        <w:rPr>
          <w:sz w:val="28"/>
          <w:szCs w:val="28"/>
        </w:rPr>
        <w:t>- путем закупки товаров, работ и услуг для обеспечения муниципальных нужд;</w:t>
      </w:r>
    </w:p>
    <w:p w:rsidR="00A50313" w:rsidRPr="00AE47C3" w:rsidRDefault="00E566EF">
      <w:pPr>
        <w:pStyle w:val="ConsPlusNormal"/>
        <w:spacing w:before="240"/>
        <w:ind w:firstLine="540"/>
        <w:contextualSpacing/>
        <w:jc w:val="both"/>
        <w:rPr>
          <w:sz w:val="28"/>
          <w:szCs w:val="28"/>
        </w:rPr>
      </w:pPr>
      <w:r w:rsidRPr="00AE47C3">
        <w:rPr>
          <w:sz w:val="28"/>
          <w:szCs w:val="28"/>
        </w:rPr>
        <w:t>- путем предоставления субсидий бюджетным и автономным учреждениям, в том числе на финансовое обеспечение выполнения ими муниципального задания.</w:t>
      </w:r>
    </w:p>
    <w:p w:rsidR="00A50313" w:rsidRPr="00AE47C3" w:rsidRDefault="00E566EF">
      <w:pPr>
        <w:pStyle w:val="ConsPlusNormal"/>
        <w:spacing w:before="240"/>
        <w:ind w:firstLine="540"/>
        <w:contextualSpacing/>
        <w:jc w:val="both"/>
        <w:rPr>
          <w:sz w:val="28"/>
          <w:szCs w:val="28"/>
        </w:rPr>
      </w:pPr>
      <w:r w:rsidRPr="00AE47C3">
        <w:rPr>
          <w:sz w:val="28"/>
          <w:szCs w:val="28"/>
        </w:rPr>
        <w:t>4. Иные межбюджетные трансферты предоставляются в целях обеспечения реализации мероприятий по благоустройству исторических центров городов.</w:t>
      </w:r>
    </w:p>
    <w:p w:rsidR="00A50313" w:rsidRPr="00AE47C3" w:rsidRDefault="00E566EF">
      <w:pPr>
        <w:pStyle w:val="ConsPlusNormal"/>
        <w:spacing w:before="240"/>
        <w:ind w:firstLine="540"/>
        <w:contextualSpacing/>
        <w:jc w:val="both"/>
        <w:rPr>
          <w:sz w:val="28"/>
          <w:szCs w:val="28"/>
        </w:rPr>
      </w:pPr>
      <w:r w:rsidRPr="00AE47C3">
        <w:rPr>
          <w:sz w:val="28"/>
          <w:szCs w:val="28"/>
        </w:rPr>
        <w:t>5. Условия предоставления и расходования иных межбюджетных трансфертов:</w:t>
      </w:r>
    </w:p>
    <w:p w:rsidR="00A50313" w:rsidRPr="00AE47C3" w:rsidRDefault="00E566EF">
      <w:pPr>
        <w:pStyle w:val="ConsPlusNormal"/>
        <w:spacing w:before="240"/>
        <w:ind w:firstLine="540"/>
        <w:contextualSpacing/>
        <w:jc w:val="both"/>
        <w:rPr>
          <w:sz w:val="28"/>
          <w:szCs w:val="28"/>
        </w:rPr>
      </w:pPr>
      <w:r w:rsidRPr="00AE47C3">
        <w:rPr>
          <w:sz w:val="28"/>
          <w:szCs w:val="28"/>
        </w:rPr>
        <w:t>- наличие соглашения о предоставлении иных межбюджетных трансфертов (далее - соглашение), заключенного между министерством строительства и жилищно-</w:t>
      </w:r>
      <w:r w:rsidRPr="00AE47C3">
        <w:rPr>
          <w:sz w:val="28"/>
          <w:szCs w:val="28"/>
        </w:rPr>
        <w:lastRenderedPageBreak/>
        <w:t xml:space="preserve">коммунального хозяйства Ярославской области (далее - </w:t>
      </w:r>
      <w:proofErr w:type="spellStart"/>
      <w:r w:rsidRPr="00AE47C3">
        <w:rPr>
          <w:sz w:val="28"/>
          <w:szCs w:val="28"/>
        </w:rPr>
        <w:t>МСиЖКХ</w:t>
      </w:r>
      <w:proofErr w:type="spellEnd"/>
      <w:r w:rsidRPr="00AE47C3">
        <w:rPr>
          <w:sz w:val="28"/>
          <w:szCs w:val="28"/>
        </w:rPr>
        <w:t xml:space="preserve"> ЯО), являющимся главным распорядителем бюджетных средств, и администрациями муниципальных образований - получателей иных межбюджетных трансфертов (далее - получатели);</w:t>
      </w:r>
    </w:p>
    <w:p w:rsidR="00A50313" w:rsidRPr="00AE47C3" w:rsidRDefault="00E566EF">
      <w:pPr>
        <w:pStyle w:val="ConsPlusNormal"/>
        <w:spacing w:before="240"/>
        <w:ind w:firstLine="540"/>
        <w:contextualSpacing/>
        <w:jc w:val="both"/>
        <w:rPr>
          <w:sz w:val="28"/>
          <w:szCs w:val="28"/>
        </w:rPr>
      </w:pPr>
      <w:r w:rsidRPr="00AE47C3">
        <w:rPr>
          <w:sz w:val="28"/>
          <w:szCs w:val="28"/>
        </w:rPr>
        <w:t>- наличие муниципальных программ формирования комфортной городской среды;</w:t>
      </w:r>
    </w:p>
    <w:p w:rsidR="00A50313" w:rsidRPr="00AE47C3" w:rsidRDefault="00E566EF">
      <w:pPr>
        <w:pStyle w:val="ConsPlusNormal"/>
        <w:spacing w:before="240"/>
        <w:ind w:firstLine="540"/>
        <w:contextualSpacing/>
        <w:jc w:val="both"/>
        <w:rPr>
          <w:sz w:val="28"/>
          <w:szCs w:val="28"/>
        </w:rPr>
      </w:pPr>
      <w:r w:rsidRPr="00AE47C3">
        <w:rPr>
          <w:sz w:val="28"/>
          <w:szCs w:val="28"/>
        </w:rPr>
        <w:t>- соблюдение целевого назначения расходования иных межбюджетных трансфертов;</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 выполнение требований к результатам предоставления иных межбюджетных трансфертов, установленных </w:t>
      </w:r>
      <w:hyperlink w:anchor="P69" w:tooltip="10. Результатом предоставления иных межбюджетных трансфертов является количество благоустроенных исторических центров городов.">
        <w:r w:rsidRPr="00AE47C3">
          <w:rPr>
            <w:sz w:val="28"/>
            <w:szCs w:val="28"/>
          </w:rPr>
          <w:t>пунктом 10</w:t>
        </w:r>
      </w:hyperlink>
      <w:r w:rsidRPr="00AE47C3">
        <w:rPr>
          <w:sz w:val="28"/>
          <w:szCs w:val="28"/>
        </w:rPr>
        <w:t xml:space="preserve"> Методики и правил, требований к срокам, порядку и формам представления отчетности об использовании иных межбюджетных трансфертов, установленных </w:t>
      </w:r>
      <w:hyperlink w:anchor="P84" w:tooltip="13. Муниципальные образования представляют в МСиЖКХ ЯО отчеты по формам, установленным соглашением:">
        <w:r w:rsidRPr="00AE47C3">
          <w:rPr>
            <w:sz w:val="28"/>
            <w:szCs w:val="28"/>
          </w:rPr>
          <w:t>пунктом 13</w:t>
        </w:r>
      </w:hyperlink>
      <w:r w:rsidRPr="00AE47C3">
        <w:rPr>
          <w:sz w:val="28"/>
          <w:szCs w:val="28"/>
        </w:rPr>
        <w:t xml:space="preserve"> Методики и правил;</w:t>
      </w:r>
    </w:p>
    <w:p w:rsidR="00A50313" w:rsidRPr="00AE47C3" w:rsidRDefault="00E566EF">
      <w:pPr>
        <w:pStyle w:val="ConsPlusNormal"/>
        <w:spacing w:before="240"/>
        <w:ind w:firstLine="540"/>
        <w:contextualSpacing/>
        <w:jc w:val="both"/>
        <w:rPr>
          <w:sz w:val="28"/>
          <w:szCs w:val="28"/>
        </w:rPr>
      </w:pPr>
      <w:r w:rsidRPr="00AE47C3">
        <w:rPr>
          <w:sz w:val="28"/>
          <w:szCs w:val="28"/>
        </w:rPr>
        <w:t>-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получателем предусмотренных соглашением обязательств по достижению результата предоставления иных межбюджетных трансфертов;</w:t>
      </w:r>
    </w:p>
    <w:p w:rsidR="00A50313" w:rsidRPr="00AE47C3" w:rsidRDefault="00E566EF">
      <w:pPr>
        <w:pStyle w:val="ConsPlusNormal"/>
        <w:spacing w:before="240"/>
        <w:ind w:firstLine="540"/>
        <w:contextualSpacing/>
        <w:jc w:val="both"/>
        <w:rPr>
          <w:sz w:val="28"/>
          <w:szCs w:val="28"/>
        </w:rPr>
      </w:pPr>
      <w:r w:rsidRPr="00AE47C3">
        <w:rPr>
          <w:sz w:val="28"/>
          <w:szCs w:val="28"/>
        </w:rPr>
        <w:t>- установление в 2024 году уровня финансирования расходного обязательства муниципального образования за счет иных межбюджетных трансфертов из областного бюджета в размере 100 процентов; с 2025 года - наличие в бюджете муниципального образования бюджетных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 формирования комфортной городской среды.</w:t>
      </w:r>
    </w:p>
    <w:p w:rsidR="00A50313" w:rsidRPr="00AE47C3" w:rsidRDefault="00E566EF">
      <w:pPr>
        <w:pStyle w:val="ConsPlusNormal"/>
        <w:spacing w:before="240"/>
        <w:ind w:firstLine="540"/>
        <w:contextualSpacing/>
        <w:jc w:val="both"/>
        <w:rPr>
          <w:sz w:val="28"/>
          <w:szCs w:val="28"/>
        </w:rPr>
      </w:pPr>
      <w:r w:rsidRPr="00AE47C3">
        <w:rPr>
          <w:sz w:val="28"/>
          <w:szCs w:val="28"/>
        </w:rPr>
        <w:t>6. Общий объем иного межбюджетного трансферта (</w:t>
      </w:r>
      <w:proofErr w:type="spellStart"/>
      <w:r w:rsidRPr="00AE47C3">
        <w:rPr>
          <w:sz w:val="28"/>
          <w:szCs w:val="28"/>
        </w:rPr>
        <w:t>V</w:t>
      </w:r>
      <w:r w:rsidRPr="00AE47C3">
        <w:rPr>
          <w:sz w:val="28"/>
          <w:szCs w:val="28"/>
          <w:vertAlign w:val="subscript"/>
        </w:rPr>
        <w:t>общ</w:t>
      </w:r>
      <w:proofErr w:type="spellEnd"/>
      <w:r w:rsidRPr="00AE47C3">
        <w:rPr>
          <w:sz w:val="28"/>
          <w:szCs w:val="28"/>
        </w:rPr>
        <w:t>) определяется по формуле:</w:t>
      </w:r>
    </w:p>
    <w:p w:rsidR="00A50313" w:rsidRPr="00AE47C3" w:rsidRDefault="00A50313">
      <w:pPr>
        <w:pStyle w:val="ConsPlusNormal"/>
        <w:contextualSpacing/>
        <w:jc w:val="both"/>
        <w:rPr>
          <w:sz w:val="28"/>
          <w:szCs w:val="28"/>
        </w:rPr>
      </w:pPr>
    </w:p>
    <w:p w:rsidR="00A50313" w:rsidRPr="00AE47C3" w:rsidRDefault="00E566EF">
      <w:pPr>
        <w:pStyle w:val="ConsPlusNormal"/>
        <w:contextualSpacing/>
        <w:jc w:val="center"/>
        <w:rPr>
          <w:sz w:val="28"/>
          <w:szCs w:val="28"/>
        </w:rPr>
      </w:pPr>
      <w:r w:rsidRPr="00AE47C3">
        <w:rPr>
          <w:noProof/>
          <w:position w:val="-12"/>
          <w:sz w:val="28"/>
          <w:szCs w:val="28"/>
        </w:rPr>
        <w:drawing>
          <wp:inline distT="0" distB="0" distL="0" distR="0">
            <wp:extent cx="99441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4410" cy="308610"/>
                    </a:xfrm>
                    <a:prstGeom prst="rect">
                      <a:avLst/>
                    </a:prstGeom>
                    <a:noFill/>
                    <a:ln>
                      <a:noFill/>
                    </a:ln>
                  </pic:spPr>
                </pic:pic>
              </a:graphicData>
            </a:graphic>
          </wp:inline>
        </w:drawing>
      </w:r>
    </w:p>
    <w:p w:rsidR="00A50313" w:rsidRPr="00AE47C3" w:rsidRDefault="00A50313">
      <w:pPr>
        <w:pStyle w:val="ConsPlusNormal"/>
        <w:contextualSpacing/>
        <w:jc w:val="both"/>
        <w:rPr>
          <w:sz w:val="28"/>
          <w:szCs w:val="28"/>
        </w:rPr>
      </w:pPr>
    </w:p>
    <w:p w:rsidR="00A50313" w:rsidRPr="00AE47C3" w:rsidRDefault="00E566EF">
      <w:pPr>
        <w:pStyle w:val="ConsPlusNormal"/>
        <w:ind w:firstLine="540"/>
        <w:contextualSpacing/>
        <w:jc w:val="both"/>
        <w:rPr>
          <w:sz w:val="28"/>
          <w:szCs w:val="28"/>
        </w:rPr>
      </w:pPr>
      <w:r w:rsidRPr="00AE47C3">
        <w:rPr>
          <w:sz w:val="28"/>
          <w:szCs w:val="28"/>
        </w:rPr>
        <w:t xml:space="preserve">где </w:t>
      </w:r>
      <w:proofErr w:type="spellStart"/>
      <w:r w:rsidRPr="00AE47C3">
        <w:rPr>
          <w:sz w:val="28"/>
          <w:szCs w:val="28"/>
        </w:rPr>
        <w:t>V</w:t>
      </w:r>
      <w:r w:rsidRPr="00AE47C3">
        <w:rPr>
          <w:sz w:val="28"/>
          <w:szCs w:val="28"/>
          <w:vertAlign w:val="subscript"/>
        </w:rPr>
        <w:t>i</w:t>
      </w:r>
      <w:proofErr w:type="spellEnd"/>
      <w:r w:rsidRPr="00AE47C3">
        <w:rPr>
          <w:sz w:val="28"/>
          <w:szCs w:val="28"/>
        </w:rPr>
        <w:t xml:space="preserve"> - размер иного межбюджетного трансферта из областного бюджета i-</w:t>
      </w:r>
      <w:proofErr w:type="spellStart"/>
      <w:r w:rsidRPr="00AE47C3">
        <w:rPr>
          <w:sz w:val="28"/>
          <w:szCs w:val="28"/>
        </w:rPr>
        <w:t>му</w:t>
      </w:r>
      <w:proofErr w:type="spellEnd"/>
      <w:r w:rsidRPr="00AE47C3">
        <w:rPr>
          <w:sz w:val="28"/>
          <w:szCs w:val="28"/>
        </w:rPr>
        <w:t xml:space="preserve"> муниципальному образованию.</w:t>
      </w:r>
    </w:p>
    <w:p w:rsidR="00A50313" w:rsidRPr="00AE47C3" w:rsidRDefault="00E566EF">
      <w:pPr>
        <w:pStyle w:val="ConsPlusNormal"/>
        <w:spacing w:before="240"/>
        <w:ind w:firstLine="540"/>
        <w:contextualSpacing/>
        <w:jc w:val="both"/>
        <w:rPr>
          <w:sz w:val="28"/>
          <w:szCs w:val="28"/>
        </w:rPr>
      </w:pPr>
      <w:r w:rsidRPr="00AE47C3">
        <w:rPr>
          <w:sz w:val="28"/>
          <w:szCs w:val="28"/>
        </w:rPr>
        <w:t>Размер иного межбюджетного трансферта из областного бюджета i-</w:t>
      </w:r>
      <w:proofErr w:type="spellStart"/>
      <w:r w:rsidRPr="00AE47C3">
        <w:rPr>
          <w:sz w:val="28"/>
          <w:szCs w:val="28"/>
        </w:rPr>
        <w:t>му</w:t>
      </w:r>
      <w:proofErr w:type="spellEnd"/>
      <w:r w:rsidRPr="00AE47C3">
        <w:rPr>
          <w:sz w:val="28"/>
          <w:szCs w:val="28"/>
        </w:rPr>
        <w:t xml:space="preserve"> муниципальному образованию (</w:t>
      </w:r>
      <w:proofErr w:type="spellStart"/>
      <w:r w:rsidRPr="00AE47C3">
        <w:rPr>
          <w:sz w:val="28"/>
          <w:szCs w:val="28"/>
        </w:rPr>
        <w:t>V</w:t>
      </w:r>
      <w:r w:rsidRPr="00AE47C3">
        <w:rPr>
          <w:sz w:val="28"/>
          <w:szCs w:val="28"/>
          <w:vertAlign w:val="subscript"/>
        </w:rPr>
        <w:t>i</w:t>
      </w:r>
      <w:proofErr w:type="spellEnd"/>
      <w:r w:rsidRPr="00AE47C3">
        <w:rPr>
          <w:sz w:val="28"/>
          <w:szCs w:val="28"/>
        </w:rPr>
        <w:t>) рассчитывается по формуле:</w:t>
      </w:r>
    </w:p>
    <w:p w:rsidR="00A50313" w:rsidRPr="00AE47C3" w:rsidRDefault="00A50313">
      <w:pPr>
        <w:pStyle w:val="ConsPlusNormal"/>
        <w:contextualSpacing/>
        <w:jc w:val="both"/>
        <w:rPr>
          <w:sz w:val="28"/>
          <w:szCs w:val="28"/>
        </w:rPr>
      </w:pPr>
    </w:p>
    <w:p w:rsidR="00A50313" w:rsidRPr="00AE47C3" w:rsidRDefault="00E566EF">
      <w:pPr>
        <w:pStyle w:val="ConsPlusNormal"/>
        <w:contextualSpacing/>
        <w:jc w:val="center"/>
        <w:rPr>
          <w:sz w:val="28"/>
          <w:szCs w:val="28"/>
        </w:rPr>
      </w:pPr>
      <w:proofErr w:type="spellStart"/>
      <w:r w:rsidRPr="00AE47C3">
        <w:rPr>
          <w:sz w:val="28"/>
          <w:szCs w:val="28"/>
        </w:rPr>
        <w:t>V</w:t>
      </w:r>
      <w:r w:rsidRPr="00AE47C3">
        <w:rPr>
          <w:sz w:val="28"/>
          <w:szCs w:val="28"/>
          <w:vertAlign w:val="subscript"/>
        </w:rPr>
        <w:t>i</w:t>
      </w:r>
      <w:proofErr w:type="spellEnd"/>
      <w:r w:rsidRPr="00AE47C3">
        <w:rPr>
          <w:sz w:val="28"/>
          <w:szCs w:val="28"/>
        </w:rPr>
        <w:t xml:space="preserve"> = </w:t>
      </w:r>
      <w:proofErr w:type="spellStart"/>
      <w:r w:rsidRPr="00AE47C3">
        <w:rPr>
          <w:sz w:val="28"/>
          <w:szCs w:val="28"/>
        </w:rPr>
        <w:t>S</w:t>
      </w:r>
      <w:r w:rsidRPr="00AE47C3">
        <w:rPr>
          <w:sz w:val="28"/>
          <w:szCs w:val="28"/>
          <w:vertAlign w:val="subscript"/>
        </w:rPr>
        <w:t>i</w:t>
      </w:r>
      <w:proofErr w:type="spellEnd"/>
      <w:r w:rsidRPr="00AE47C3">
        <w:rPr>
          <w:sz w:val="28"/>
          <w:szCs w:val="28"/>
        </w:rPr>
        <w:t xml:space="preserve"> x </w:t>
      </w:r>
      <w:proofErr w:type="spellStart"/>
      <w:r w:rsidRPr="00AE47C3">
        <w:rPr>
          <w:sz w:val="28"/>
          <w:szCs w:val="28"/>
        </w:rPr>
        <w:t>K</w:t>
      </w:r>
      <w:r w:rsidRPr="00AE47C3">
        <w:rPr>
          <w:sz w:val="28"/>
          <w:szCs w:val="28"/>
          <w:vertAlign w:val="subscript"/>
        </w:rPr>
        <w:t>i</w:t>
      </w:r>
      <w:proofErr w:type="spellEnd"/>
      <w:r w:rsidRPr="00AE47C3">
        <w:rPr>
          <w:sz w:val="28"/>
          <w:szCs w:val="28"/>
        </w:rPr>
        <w:t xml:space="preserve"> / 100,</w:t>
      </w:r>
    </w:p>
    <w:p w:rsidR="00A50313" w:rsidRPr="00AE47C3" w:rsidRDefault="00A50313">
      <w:pPr>
        <w:pStyle w:val="ConsPlusNormal"/>
        <w:contextualSpacing/>
        <w:jc w:val="both"/>
        <w:rPr>
          <w:sz w:val="28"/>
          <w:szCs w:val="28"/>
        </w:rPr>
      </w:pPr>
    </w:p>
    <w:p w:rsidR="00A50313" w:rsidRPr="00AE47C3" w:rsidRDefault="00E566EF">
      <w:pPr>
        <w:pStyle w:val="ConsPlusNormal"/>
        <w:contextualSpacing/>
        <w:rPr>
          <w:sz w:val="28"/>
          <w:szCs w:val="28"/>
        </w:rPr>
      </w:pPr>
      <w:r w:rsidRPr="00AE47C3">
        <w:rPr>
          <w:sz w:val="28"/>
          <w:szCs w:val="28"/>
        </w:rPr>
        <w:t>где:</w:t>
      </w:r>
    </w:p>
    <w:p w:rsidR="00A50313" w:rsidRPr="00AE47C3" w:rsidRDefault="00E566EF">
      <w:pPr>
        <w:pStyle w:val="ConsPlusNormal"/>
        <w:spacing w:before="240"/>
        <w:ind w:firstLine="540"/>
        <w:contextualSpacing/>
        <w:jc w:val="both"/>
        <w:rPr>
          <w:sz w:val="28"/>
          <w:szCs w:val="28"/>
        </w:rPr>
      </w:pPr>
      <w:proofErr w:type="spellStart"/>
      <w:r w:rsidRPr="00AE47C3">
        <w:rPr>
          <w:sz w:val="28"/>
          <w:szCs w:val="28"/>
        </w:rPr>
        <w:t>S</w:t>
      </w:r>
      <w:r w:rsidRPr="00AE47C3">
        <w:rPr>
          <w:sz w:val="28"/>
          <w:szCs w:val="28"/>
          <w:vertAlign w:val="subscript"/>
        </w:rPr>
        <w:t>i</w:t>
      </w:r>
      <w:proofErr w:type="spellEnd"/>
      <w:r w:rsidRPr="00AE47C3">
        <w:rPr>
          <w:sz w:val="28"/>
          <w:szCs w:val="28"/>
        </w:rPr>
        <w:t xml:space="preserve"> - сметная стоимость объекта благоустройства i-</w:t>
      </w:r>
      <w:proofErr w:type="spellStart"/>
      <w:r w:rsidRPr="00AE47C3">
        <w:rPr>
          <w:sz w:val="28"/>
          <w:szCs w:val="28"/>
        </w:rPr>
        <w:t>го</w:t>
      </w:r>
      <w:proofErr w:type="spellEnd"/>
      <w:r w:rsidRPr="00AE47C3">
        <w:rPr>
          <w:sz w:val="28"/>
          <w:szCs w:val="28"/>
        </w:rPr>
        <w:t xml:space="preserve"> муниципального образования;</w:t>
      </w:r>
    </w:p>
    <w:p w:rsidR="00A50313" w:rsidRPr="00AE47C3" w:rsidRDefault="00E566EF">
      <w:pPr>
        <w:pStyle w:val="ConsPlusNormal"/>
        <w:spacing w:before="240"/>
        <w:ind w:firstLine="540"/>
        <w:contextualSpacing/>
        <w:jc w:val="both"/>
        <w:rPr>
          <w:sz w:val="28"/>
          <w:szCs w:val="28"/>
        </w:rPr>
      </w:pPr>
      <w:proofErr w:type="spellStart"/>
      <w:r w:rsidRPr="00AE47C3">
        <w:rPr>
          <w:sz w:val="28"/>
          <w:szCs w:val="28"/>
        </w:rPr>
        <w:t>K</w:t>
      </w:r>
      <w:r w:rsidRPr="00AE47C3">
        <w:rPr>
          <w:sz w:val="28"/>
          <w:szCs w:val="28"/>
          <w:vertAlign w:val="subscript"/>
        </w:rPr>
        <w:t>i</w:t>
      </w:r>
      <w:proofErr w:type="spellEnd"/>
      <w:r w:rsidRPr="00AE47C3">
        <w:rPr>
          <w:sz w:val="28"/>
          <w:szCs w:val="28"/>
        </w:rPr>
        <w:t xml:space="preserve"> - уровень </w:t>
      </w:r>
      <w:proofErr w:type="spellStart"/>
      <w:r w:rsidRPr="00AE47C3">
        <w:rPr>
          <w:sz w:val="28"/>
          <w:szCs w:val="28"/>
        </w:rPr>
        <w:t>софинансирования</w:t>
      </w:r>
      <w:proofErr w:type="spellEnd"/>
      <w:r w:rsidRPr="00AE47C3">
        <w:rPr>
          <w:sz w:val="28"/>
          <w:szCs w:val="28"/>
        </w:rPr>
        <w:t xml:space="preserve"> за счет средств областного бюджета в соответствии с </w:t>
      </w:r>
      <w:hyperlink w:anchor="P45" w:tooltip="7. Уровень софинансирования расходного обязательства муниципального образования за счет иных межбюджетных трансфертов из областного бюджета устанавливается следующим образом:">
        <w:r w:rsidRPr="00AE47C3">
          <w:rPr>
            <w:sz w:val="28"/>
            <w:szCs w:val="28"/>
          </w:rPr>
          <w:t>пунктом 7</w:t>
        </w:r>
      </w:hyperlink>
      <w:r w:rsidRPr="00AE47C3">
        <w:rPr>
          <w:sz w:val="28"/>
          <w:szCs w:val="28"/>
        </w:rPr>
        <w:t xml:space="preserve"> Методики и правил.</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В случае если сметная стоимость объекта благоустройства в целом превышает сумму иного межбюджетного трансферта из областного бюджета и </w:t>
      </w:r>
      <w:proofErr w:type="spellStart"/>
      <w:r w:rsidRPr="00AE47C3">
        <w:rPr>
          <w:sz w:val="28"/>
          <w:szCs w:val="28"/>
        </w:rPr>
        <w:lastRenderedPageBreak/>
        <w:t>софинансирования</w:t>
      </w:r>
      <w:proofErr w:type="spellEnd"/>
      <w:r w:rsidRPr="00AE47C3">
        <w:rPr>
          <w:sz w:val="28"/>
          <w:szCs w:val="28"/>
        </w:rPr>
        <w:t xml:space="preserve"> из местного бюджета, разница компенсируется за счет средств бюджета муниципального образования.</w:t>
      </w:r>
    </w:p>
    <w:p w:rsidR="00A50313" w:rsidRPr="00AE47C3" w:rsidRDefault="00E566EF">
      <w:pPr>
        <w:pStyle w:val="ConsPlusNormal"/>
        <w:spacing w:before="240"/>
        <w:ind w:firstLine="540"/>
        <w:contextualSpacing/>
        <w:jc w:val="both"/>
        <w:rPr>
          <w:sz w:val="28"/>
          <w:szCs w:val="28"/>
        </w:rPr>
      </w:pPr>
      <w:bookmarkStart w:id="2" w:name="P45"/>
      <w:bookmarkEnd w:id="2"/>
      <w:r w:rsidRPr="00AE47C3">
        <w:rPr>
          <w:sz w:val="28"/>
          <w:szCs w:val="28"/>
        </w:rPr>
        <w:t xml:space="preserve">7. Уровень </w:t>
      </w:r>
      <w:proofErr w:type="spellStart"/>
      <w:r w:rsidRPr="00AE47C3">
        <w:rPr>
          <w:sz w:val="28"/>
          <w:szCs w:val="28"/>
        </w:rPr>
        <w:t>софинансирования</w:t>
      </w:r>
      <w:proofErr w:type="spellEnd"/>
      <w:r w:rsidRPr="00AE47C3">
        <w:rPr>
          <w:sz w:val="28"/>
          <w:szCs w:val="28"/>
        </w:rPr>
        <w:t xml:space="preserve"> расходного обязательства муниципального образования за счет иных межбюджетных трансфертов из областного бюджета устанавливается следующим образом:</w:t>
      </w:r>
    </w:p>
    <w:p w:rsidR="00A50313" w:rsidRPr="00AE47C3" w:rsidRDefault="00A50313">
      <w:pPr>
        <w:pStyle w:val="ConsPlusNormal"/>
        <w:contextualSpacing/>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99"/>
        <w:gridCol w:w="3572"/>
      </w:tblGrid>
      <w:tr w:rsidR="00AE47C3" w:rsidRPr="00AE47C3">
        <w:tc>
          <w:tcPr>
            <w:tcW w:w="5499" w:type="dxa"/>
          </w:tcPr>
          <w:p w:rsidR="00A50313" w:rsidRPr="00AE47C3" w:rsidRDefault="00E566EF">
            <w:pPr>
              <w:pStyle w:val="ConsPlusNormal"/>
              <w:contextualSpacing/>
              <w:jc w:val="center"/>
              <w:rPr>
                <w:sz w:val="28"/>
                <w:szCs w:val="28"/>
              </w:rPr>
            </w:pPr>
            <w:r w:rsidRPr="00AE47C3">
              <w:rPr>
                <w:sz w:val="28"/>
                <w:szCs w:val="28"/>
              </w:rPr>
              <w:t>Наименование бюджета</w:t>
            </w:r>
          </w:p>
        </w:tc>
        <w:tc>
          <w:tcPr>
            <w:tcW w:w="3572" w:type="dxa"/>
          </w:tcPr>
          <w:p w:rsidR="00A50313" w:rsidRPr="00AE47C3" w:rsidRDefault="00E566EF">
            <w:pPr>
              <w:pStyle w:val="ConsPlusNormal"/>
              <w:contextualSpacing/>
              <w:jc w:val="center"/>
              <w:rPr>
                <w:sz w:val="28"/>
                <w:szCs w:val="28"/>
              </w:rPr>
            </w:pPr>
            <w:r w:rsidRPr="00AE47C3">
              <w:rPr>
                <w:sz w:val="28"/>
                <w:szCs w:val="28"/>
              </w:rPr>
              <w:t xml:space="preserve">Уровень </w:t>
            </w:r>
            <w:proofErr w:type="spellStart"/>
            <w:r w:rsidRPr="00AE47C3">
              <w:rPr>
                <w:sz w:val="28"/>
                <w:szCs w:val="28"/>
              </w:rPr>
              <w:t>софинансирования</w:t>
            </w:r>
            <w:proofErr w:type="spellEnd"/>
            <w:r w:rsidRPr="00AE47C3">
              <w:rPr>
                <w:sz w:val="28"/>
                <w:szCs w:val="28"/>
              </w:rPr>
              <w:t xml:space="preserve"> за счет средств областного бюджета, процентов</w:t>
            </w:r>
          </w:p>
        </w:tc>
      </w:tr>
      <w:tr w:rsidR="00AE47C3" w:rsidRPr="00AE47C3">
        <w:tc>
          <w:tcPr>
            <w:tcW w:w="5499" w:type="dxa"/>
          </w:tcPr>
          <w:p w:rsidR="00A50313" w:rsidRPr="00AE47C3" w:rsidRDefault="00E566EF">
            <w:pPr>
              <w:pStyle w:val="ConsPlusNormal"/>
              <w:contextualSpacing/>
              <w:jc w:val="center"/>
              <w:rPr>
                <w:sz w:val="28"/>
                <w:szCs w:val="28"/>
              </w:rPr>
            </w:pPr>
            <w:r w:rsidRPr="00AE47C3">
              <w:rPr>
                <w:sz w:val="28"/>
                <w:szCs w:val="28"/>
              </w:rPr>
              <w:t>1</w:t>
            </w:r>
          </w:p>
        </w:tc>
        <w:tc>
          <w:tcPr>
            <w:tcW w:w="3572" w:type="dxa"/>
          </w:tcPr>
          <w:p w:rsidR="00A50313" w:rsidRPr="00AE47C3" w:rsidRDefault="00E566EF">
            <w:pPr>
              <w:pStyle w:val="ConsPlusNormal"/>
              <w:contextualSpacing/>
              <w:jc w:val="center"/>
              <w:rPr>
                <w:sz w:val="28"/>
                <w:szCs w:val="28"/>
              </w:rPr>
            </w:pPr>
            <w:r w:rsidRPr="00AE47C3">
              <w:rPr>
                <w:sz w:val="28"/>
                <w:szCs w:val="28"/>
              </w:rPr>
              <w:t>2</w:t>
            </w:r>
          </w:p>
        </w:tc>
      </w:tr>
      <w:tr w:rsidR="00AE47C3" w:rsidRPr="00AE47C3">
        <w:tc>
          <w:tcPr>
            <w:tcW w:w="9071" w:type="dxa"/>
            <w:gridSpan w:val="2"/>
          </w:tcPr>
          <w:p w:rsidR="00A50313" w:rsidRPr="00AE47C3" w:rsidRDefault="00E566EF">
            <w:pPr>
              <w:pStyle w:val="ConsPlusNormal"/>
              <w:contextualSpacing/>
              <w:jc w:val="center"/>
              <w:rPr>
                <w:sz w:val="28"/>
                <w:szCs w:val="28"/>
              </w:rPr>
            </w:pPr>
            <w:r w:rsidRPr="00AE47C3">
              <w:rPr>
                <w:sz w:val="28"/>
                <w:szCs w:val="28"/>
              </w:rPr>
              <w:t>Городской округ г. Ярославль</w:t>
            </w:r>
          </w:p>
        </w:tc>
      </w:tr>
      <w:tr w:rsidR="00AE47C3" w:rsidRPr="00AE47C3">
        <w:tc>
          <w:tcPr>
            <w:tcW w:w="5499" w:type="dxa"/>
          </w:tcPr>
          <w:p w:rsidR="00A50313" w:rsidRPr="00AE47C3" w:rsidRDefault="00E566EF">
            <w:pPr>
              <w:pStyle w:val="ConsPlusNormal"/>
              <w:contextualSpacing/>
              <w:rPr>
                <w:sz w:val="28"/>
                <w:szCs w:val="28"/>
              </w:rPr>
            </w:pPr>
            <w:r w:rsidRPr="00AE47C3">
              <w:rPr>
                <w:sz w:val="28"/>
                <w:szCs w:val="28"/>
              </w:rPr>
              <w:t>Бюджет городского округа г. Ярославля</w:t>
            </w:r>
          </w:p>
        </w:tc>
        <w:tc>
          <w:tcPr>
            <w:tcW w:w="3572" w:type="dxa"/>
          </w:tcPr>
          <w:p w:rsidR="00A50313" w:rsidRPr="00AE47C3" w:rsidRDefault="00E566EF">
            <w:pPr>
              <w:pStyle w:val="ConsPlusNormal"/>
              <w:contextualSpacing/>
              <w:jc w:val="center"/>
              <w:rPr>
                <w:sz w:val="28"/>
                <w:szCs w:val="28"/>
              </w:rPr>
            </w:pPr>
            <w:r w:rsidRPr="00AE47C3">
              <w:rPr>
                <w:sz w:val="28"/>
                <w:szCs w:val="28"/>
              </w:rPr>
              <w:t>88,0</w:t>
            </w:r>
          </w:p>
        </w:tc>
      </w:tr>
      <w:tr w:rsidR="00AE47C3" w:rsidRPr="00AE47C3">
        <w:tc>
          <w:tcPr>
            <w:tcW w:w="9071" w:type="dxa"/>
            <w:gridSpan w:val="2"/>
          </w:tcPr>
          <w:p w:rsidR="00A50313" w:rsidRPr="00AE47C3" w:rsidRDefault="00E566EF">
            <w:pPr>
              <w:pStyle w:val="ConsPlusNormal"/>
              <w:contextualSpacing/>
              <w:jc w:val="center"/>
              <w:rPr>
                <w:sz w:val="28"/>
                <w:szCs w:val="28"/>
              </w:rPr>
            </w:pPr>
            <w:r w:rsidRPr="00AE47C3">
              <w:rPr>
                <w:sz w:val="28"/>
                <w:szCs w:val="28"/>
              </w:rPr>
              <w:t>Городской округ г. Рыбинск</w:t>
            </w:r>
          </w:p>
        </w:tc>
      </w:tr>
      <w:tr w:rsidR="00AE47C3" w:rsidRPr="00AE47C3">
        <w:tc>
          <w:tcPr>
            <w:tcW w:w="5499" w:type="dxa"/>
          </w:tcPr>
          <w:p w:rsidR="00A50313" w:rsidRPr="00AE47C3" w:rsidRDefault="00E566EF">
            <w:pPr>
              <w:pStyle w:val="ConsPlusNormal"/>
              <w:contextualSpacing/>
              <w:rPr>
                <w:sz w:val="28"/>
                <w:szCs w:val="28"/>
              </w:rPr>
            </w:pPr>
            <w:r w:rsidRPr="00AE47C3">
              <w:rPr>
                <w:sz w:val="28"/>
                <w:szCs w:val="28"/>
              </w:rPr>
              <w:t>Бюджет городского округа г. Рыбинска</w:t>
            </w:r>
          </w:p>
        </w:tc>
        <w:tc>
          <w:tcPr>
            <w:tcW w:w="3572" w:type="dxa"/>
          </w:tcPr>
          <w:p w:rsidR="00A50313" w:rsidRPr="00AE47C3" w:rsidRDefault="00E566EF">
            <w:pPr>
              <w:pStyle w:val="ConsPlusNormal"/>
              <w:contextualSpacing/>
              <w:jc w:val="center"/>
              <w:rPr>
                <w:sz w:val="28"/>
                <w:szCs w:val="28"/>
              </w:rPr>
            </w:pPr>
            <w:r w:rsidRPr="00AE47C3">
              <w:rPr>
                <w:sz w:val="28"/>
                <w:szCs w:val="28"/>
              </w:rPr>
              <w:t>92,0</w:t>
            </w:r>
          </w:p>
        </w:tc>
      </w:tr>
    </w:tbl>
    <w:p w:rsidR="00A50313" w:rsidRPr="00AE47C3" w:rsidRDefault="00A50313">
      <w:pPr>
        <w:pStyle w:val="ConsPlusNormal"/>
        <w:contextualSpacing/>
        <w:jc w:val="both"/>
        <w:rPr>
          <w:sz w:val="28"/>
          <w:szCs w:val="28"/>
        </w:rPr>
      </w:pPr>
    </w:p>
    <w:p w:rsidR="00A50313" w:rsidRPr="00AE47C3" w:rsidRDefault="00E566EF">
      <w:pPr>
        <w:pStyle w:val="ConsPlusNormal"/>
        <w:ind w:firstLine="540"/>
        <w:contextualSpacing/>
        <w:jc w:val="both"/>
        <w:rPr>
          <w:sz w:val="28"/>
          <w:szCs w:val="28"/>
        </w:rPr>
      </w:pPr>
      <w:r w:rsidRPr="00AE47C3">
        <w:rPr>
          <w:sz w:val="28"/>
          <w:szCs w:val="28"/>
        </w:rPr>
        <w:t>8. Распределение иных межбюджетных трансфертов утверждается законом Ярославской области об областном бюджете на очередной финансовый год и на плановый период.</w:t>
      </w:r>
    </w:p>
    <w:p w:rsidR="00A50313" w:rsidRPr="00AE47C3" w:rsidRDefault="00E566EF">
      <w:pPr>
        <w:pStyle w:val="ConsPlusNormal"/>
        <w:spacing w:before="240"/>
        <w:ind w:firstLine="540"/>
        <w:contextualSpacing/>
        <w:jc w:val="both"/>
        <w:rPr>
          <w:sz w:val="28"/>
          <w:szCs w:val="28"/>
        </w:rPr>
      </w:pPr>
      <w:r w:rsidRPr="00AE47C3">
        <w:rPr>
          <w:sz w:val="28"/>
          <w:szCs w:val="28"/>
        </w:rPr>
        <w:t>9. Иные межбюджетные трансферты предоставляются на основании соглашения, заключенного в государственной информационной системе "Электронный бюджет Ярославской области" по форме, утвержденной приказом департамента финансов Ярославской области от 19.10.2021 N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p>
    <w:p w:rsidR="00A50313" w:rsidRPr="00AE47C3" w:rsidRDefault="00E566EF">
      <w:pPr>
        <w:pStyle w:val="ConsPlusNormal"/>
        <w:spacing w:before="240"/>
        <w:ind w:firstLine="540"/>
        <w:contextualSpacing/>
        <w:jc w:val="both"/>
        <w:rPr>
          <w:sz w:val="28"/>
          <w:szCs w:val="28"/>
        </w:rPr>
      </w:pPr>
      <w:r w:rsidRPr="00AE47C3">
        <w:rPr>
          <w:sz w:val="28"/>
          <w:szCs w:val="28"/>
        </w:rPr>
        <w:t>Соглашение заключается в срок, установленный Бюджетным кодексом Российской Федерации.</w:t>
      </w:r>
    </w:p>
    <w:p w:rsidR="00A50313" w:rsidRPr="00AE47C3" w:rsidRDefault="00E566EF">
      <w:pPr>
        <w:pStyle w:val="ConsPlusNormal"/>
        <w:spacing w:before="240"/>
        <w:ind w:firstLine="540"/>
        <w:contextualSpacing/>
        <w:jc w:val="both"/>
        <w:rPr>
          <w:sz w:val="28"/>
          <w:szCs w:val="28"/>
        </w:rPr>
      </w:pPr>
      <w:r w:rsidRPr="00AE47C3">
        <w:rPr>
          <w:sz w:val="28"/>
          <w:szCs w:val="28"/>
        </w:rPr>
        <w:t>Перечень документов, необходимых для заключения соглашения:</w:t>
      </w:r>
    </w:p>
    <w:p w:rsidR="00A50313" w:rsidRPr="00AE47C3" w:rsidRDefault="00E566EF">
      <w:pPr>
        <w:pStyle w:val="ConsPlusNormal"/>
        <w:spacing w:before="240"/>
        <w:ind w:firstLine="540"/>
        <w:contextualSpacing/>
        <w:jc w:val="both"/>
        <w:rPr>
          <w:sz w:val="28"/>
          <w:szCs w:val="28"/>
        </w:rPr>
      </w:pPr>
      <w:r w:rsidRPr="00AE47C3">
        <w:rPr>
          <w:sz w:val="28"/>
          <w:szCs w:val="28"/>
        </w:rPr>
        <w:t>-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 формирования комфортной городской среды;</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 копия утвержденной муниципальной программы формирования комфортной городской среды, на </w:t>
      </w:r>
      <w:proofErr w:type="spellStart"/>
      <w:r w:rsidRPr="00AE47C3">
        <w:rPr>
          <w:sz w:val="28"/>
          <w:szCs w:val="28"/>
        </w:rPr>
        <w:t>софинансирование</w:t>
      </w:r>
      <w:proofErr w:type="spellEnd"/>
      <w:r w:rsidRPr="00AE47C3">
        <w:rPr>
          <w:sz w:val="28"/>
          <w:szCs w:val="28"/>
        </w:rPr>
        <w:t xml:space="preserve"> мероприятий которой предоставляется иной межбюджетный трансферт, или гарантийное письмо о включении мероприятий в указанную муниципальную программу.</w:t>
      </w:r>
    </w:p>
    <w:p w:rsidR="00A50313" w:rsidRPr="00AE47C3" w:rsidRDefault="00E566EF">
      <w:pPr>
        <w:pStyle w:val="ConsPlusNormal"/>
        <w:spacing w:before="240"/>
        <w:ind w:firstLine="540"/>
        <w:contextualSpacing/>
        <w:jc w:val="both"/>
        <w:rPr>
          <w:sz w:val="28"/>
          <w:szCs w:val="28"/>
        </w:rPr>
      </w:pPr>
      <w:bookmarkStart w:id="3" w:name="P69"/>
      <w:bookmarkEnd w:id="3"/>
      <w:r w:rsidRPr="00AE47C3">
        <w:rPr>
          <w:sz w:val="28"/>
          <w:szCs w:val="28"/>
        </w:rPr>
        <w:t>10. Результатом предоставления иных межбюджетных трансфертов является количество благоустроенных исторических центров городов.</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11. Предоставление иных межбюджетных трансфертов осуществляется в </w:t>
      </w:r>
      <w:r w:rsidRPr="00AE47C3">
        <w:rPr>
          <w:sz w:val="28"/>
          <w:szCs w:val="28"/>
        </w:rPr>
        <w:lastRenderedPageBreak/>
        <w:t>следующем порядке (с возможностью поэтапной оплаты работ, предусмотренной условиями контракта):</w:t>
      </w:r>
    </w:p>
    <w:p w:rsidR="00A50313" w:rsidRPr="00AE47C3" w:rsidRDefault="00E566EF">
      <w:pPr>
        <w:pStyle w:val="ConsPlusNormal"/>
        <w:spacing w:before="240"/>
        <w:ind w:firstLine="540"/>
        <w:contextualSpacing/>
        <w:jc w:val="both"/>
        <w:rPr>
          <w:sz w:val="28"/>
          <w:szCs w:val="28"/>
        </w:rPr>
      </w:pPr>
      <w:r w:rsidRPr="00AE47C3">
        <w:rPr>
          <w:sz w:val="28"/>
          <w:szCs w:val="28"/>
        </w:rPr>
        <w:t>11.1. Перечисление иных межбюджетных трансфертов получателю осуществляется в пределах утвержденного кассового плана областного бюджета на текущий финансовый год.</w:t>
      </w:r>
    </w:p>
    <w:p w:rsidR="00A50313" w:rsidRPr="00AE47C3" w:rsidRDefault="00E566EF">
      <w:pPr>
        <w:pStyle w:val="ConsPlusNormal"/>
        <w:spacing w:before="240"/>
        <w:ind w:firstLine="540"/>
        <w:contextualSpacing/>
        <w:jc w:val="both"/>
        <w:rPr>
          <w:sz w:val="28"/>
          <w:szCs w:val="28"/>
        </w:rPr>
      </w:pPr>
      <w:r w:rsidRPr="00AE47C3">
        <w:rPr>
          <w:sz w:val="28"/>
          <w:szCs w:val="28"/>
        </w:rPr>
        <w:t>11.2. Перечисление иных межбюджетных трансфертов осуществляется в установленном порядке в доход бюджета муниципального образования в пределах лимитов бюджетных обязательств областного бюджета, предусмотренных законом Ярославской области об областном бюджете на соответствующий финансовый год и на плановый период,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12. Получатель представляет в </w:t>
      </w:r>
      <w:proofErr w:type="spellStart"/>
      <w:r w:rsidRPr="00AE47C3">
        <w:rPr>
          <w:sz w:val="28"/>
          <w:szCs w:val="28"/>
        </w:rPr>
        <w:t>МСиЖКХ</w:t>
      </w:r>
      <w:proofErr w:type="spellEnd"/>
      <w:r w:rsidRPr="00AE47C3">
        <w:rPr>
          <w:sz w:val="28"/>
          <w:szCs w:val="28"/>
        </w:rPr>
        <w:t xml:space="preserve"> ЯО </w:t>
      </w:r>
      <w:hyperlink w:anchor="P139" w:tooltip="                                   ЗАЯВКА">
        <w:r w:rsidRPr="00AE47C3">
          <w:rPr>
            <w:sz w:val="28"/>
            <w:szCs w:val="28"/>
          </w:rPr>
          <w:t>заявку</w:t>
        </w:r>
      </w:hyperlink>
      <w:r w:rsidRPr="00AE47C3">
        <w:rPr>
          <w:sz w:val="28"/>
          <w:szCs w:val="28"/>
        </w:rPr>
        <w:t xml:space="preserve">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на бумажном носителе, к которой прилагаются:</w:t>
      </w:r>
    </w:p>
    <w:p w:rsidR="00A50313" w:rsidRPr="00AE47C3" w:rsidRDefault="00E566EF">
      <w:pPr>
        <w:pStyle w:val="ConsPlusNormal"/>
        <w:spacing w:before="240"/>
        <w:ind w:firstLine="540"/>
        <w:contextualSpacing/>
        <w:jc w:val="both"/>
        <w:rPr>
          <w:sz w:val="28"/>
          <w:szCs w:val="28"/>
        </w:rPr>
      </w:pPr>
      <w:r w:rsidRPr="00AE47C3">
        <w:rPr>
          <w:sz w:val="28"/>
          <w:szCs w:val="28"/>
        </w:rPr>
        <w:t>- копии контрактов (договоров) на выполнение работ, оказание услуг, приобретение товаров, в том числе сметная документация с положительным заключением государственной экспертизы о достоверности сметной стоимости работ (в отношении мероприятий, выполненных в рамках муниципальной программы формирования комфортной городской среды);</w:t>
      </w:r>
    </w:p>
    <w:p w:rsidR="00A50313" w:rsidRPr="00AE47C3" w:rsidRDefault="00E566EF">
      <w:pPr>
        <w:pStyle w:val="ConsPlusNormal"/>
        <w:spacing w:before="240"/>
        <w:ind w:firstLine="540"/>
        <w:contextualSpacing/>
        <w:jc w:val="both"/>
        <w:rPr>
          <w:sz w:val="28"/>
          <w:szCs w:val="28"/>
        </w:rPr>
      </w:pPr>
      <w:r w:rsidRPr="00AE47C3">
        <w:rPr>
          <w:sz w:val="28"/>
          <w:szCs w:val="28"/>
        </w:rPr>
        <w:t>- выписка из муниципальной программы формирования комфортной городской среды;</w:t>
      </w:r>
    </w:p>
    <w:p w:rsidR="00A50313" w:rsidRPr="00AE47C3" w:rsidRDefault="00E566EF">
      <w:pPr>
        <w:pStyle w:val="ConsPlusNormal"/>
        <w:spacing w:before="240"/>
        <w:ind w:firstLine="540"/>
        <w:contextualSpacing/>
        <w:jc w:val="both"/>
        <w:rPr>
          <w:sz w:val="28"/>
          <w:szCs w:val="28"/>
        </w:rPr>
      </w:pPr>
      <w:r w:rsidRPr="00AE47C3">
        <w:rPr>
          <w:sz w:val="28"/>
          <w:szCs w:val="28"/>
        </w:rPr>
        <w:t>- копии справок о стоимости выполненных работ и затрат по форме КС-3,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форме КС-2;</w:t>
      </w:r>
    </w:p>
    <w:p w:rsidR="00A50313" w:rsidRPr="00AE47C3" w:rsidRDefault="00E566EF">
      <w:pPr>
        <w:pStyle w:val="ConsPlusNormal"/>
        <w:spacing w:before="240"/>
        <w:ind w:firstLine="540"/>
        <w:contextualSpacing/>
        <w:jc w:val="both"/>
        <w:rPr>
          <w:sz w:val="28"/>
          <w:szCs w:val="28"/>
        </w:rPr>
      </w:pPr>
      <w:r w:rsidRPr="00AE47C3">
        <w:rPr>
          <w:sz w:val="28"/>
          <w:szCs w:val="28"/>
        </w:rPr>
        <w:t>- товарная накладная, счет на оплату/счет-фактура;</w:t>
      </w:r>
    </w:p>
    <w:p w:rsidR="00A50313" w:rsidRPr="00AE47C3" w:rsidRDefault="00E566EF">
      <w:pPr>
        <w:pStyle w:val="ConsPlusNormal"/>
        <w:spacing w:before="240"/>
        <w:ind w:firstLine="540"/>
        <w:contextualSpacing/>
        <w:jc w:val="both"/>
        <w:rPr>
          <w:sz w:val="28"/>
          <w:szCs w:val="28"/>
        </w:rPr>
      </w:pPr>
      <w:r w:rsidRPr="00AE47C3">
        <w:rPr>
          <w:sz w:val="28"/>
          <w:szCs w:val="28"/>
        </w:rPr>
        <w:t>- гарантийные паспорта;</w:t>
      </w:r>
    </w:p>
    <w:p w:rsidR="00A50313" w:rsidRPr="00AE47C3" w:rsidRDefault="00E566EF">
      <w:pPr>
        <w:pStyle w:val="ConsPlusNormal"/>
        <w:spacing w:before="240"/>
        <w:ind w:firstLine="540"/>
        <w:contextualSpacing/>
        <w:jc w:val="both"/>
        <w:rPr>
          <w:sz w:val="28"/>
          <w:szCs w:val="28"/>
        </w:rPr>
      </w:pPr>
      <w:r w:rsidRPr="00AE47C3">
        <w:rPr>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A50313" w:rsidRPr="00AE47C3" w:rsidRDefault="00E566EF">
      <w:pPr>
        <w:pStyle w:val="ConsPlusNormal"/>
        <w:spacing w:before="240"/>
        <w:ind w:firstLine="540"/>
        <w:contextualSpacing/>
        <w:jc w:val="both"/>
        <w:rPr>
          <w:sz w:val="28"/>
          <w:szCs w:val="28"/>
        </w:rPr>
      </w:pPr>
      <w:r w:rsidRPr="00AE47C3">
        <w:rPr>
          <w:sz w:val="28"/>
          <w:szCs w:val="28"/>
        </w:rPr>
        <w:t>- копии заверенных платежных поручений, подтверждающих расходы муниципального образования.</w:t>
      </w:r>
    </w:p>
    <w:p w:rsidR="00A50313" w:rsidRPr="00AE47C3" w:rsidRDefault="00E566EF" w:rsidP="00AE47C3">
      <w:pPr>
        <w:pStyle w:val="ConsPlusNormal"/>
        <w:spacing w:before="240"/>
        <w:ind w:firstLine="540"/>
        <w:contextualSpacing/>
        <w:jc w:val="both"/>
        <w:rPr>
          <w:sz w:val="28"/>
          <w:szCs w:val="28"/>
        </w:rPr>
      </w:pPr>
      <w:bookmarkStart w:id="4" w:name="P84"/>
      <w:bookmarkEnd w:id="4"/>
      <w:r w:rsidRPr="00AE47C3">
        <w:rPr>
          <w:sz w:val="28"/>
          <w:szCs w:val="28"/>
        </w:rPr>
        <w:t xml:space="preserve">13. Муниципальные образования представляют в </w:t>
      </w:r>
      <w:proofErr w:type="spellStart"/>
      <w:r w:rsidRPr="00AE47C3">
        <w:rPr>
          <w:sz w:val="28"/>
          <w:szCs w:val="28"/>
        </w:rPr>
        <w:t>МСиЖКХ</w:t>
      </w:r>
      <w:proofErr w:type="spellEnd"/>
      <w:r w:rsidRPr="00AE47C3">
        <w:rPr>
          <w:sz w:val="28"/>
          <w:szCs w:val="28"/>
        </w:rPr>
        <w:t xml:space="preserve"> ЯО отчеты по формам, установленным соглашением:</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 отчет о расходах, в целях </w:t>
      </w:r>
      <w:proofErr w:type="spellStart"/>
      <w:r w:rsidRPr="00AE47C3">
        <w:rPr>
          <w:sz w:val="28"/>
          <w:szCs w:val="28"/>
        </w:rPr>
        <w:t>софинансирования</w:t>
      </w:r>
      <w:proofErr w:type="spellEnd"/>
      <w:r w:rsidRPr="00AE47C3">
        <w:rPr>
          <w:sz w:val="28"/>
          <w:szCs w:val="28"/>
        </w:rPr>
        <w:t xml:space="preserve"> которых предоставляются иные межбюджетные трансферты, - не позднее 10-го числа месяца, следующего за отчетным кварталом;</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 отчет о достижении значений результатов предоставления иных межбюджетных трансфертов и об обязательствах, принятых в целях их достижения, - не позднее 20 января, следующего за годом, в котором были получены иные </w:t>
      </w:r>
      <w:r w:rsidRPr="00AE47C3">
        <w:rPr>
          <w:sz w:val="28"/>
          <w:szCs w:val="28"/>
        </w:rPr>
        <w:lastRenderedPageBreak/>
        <w:t>межбюджетные трансферты.</w:t>
      </w:r>
    </w:p>
    <w:p w:rsidR="00A50313" w:rsidRPr="00AE47C3" w:rsidRDefault="00E566EF" w:rsidP="00AE47C3">
      <w:pPr>
        <w:pStyle w:val="ConsPlusNormal"/>
        <w:spacing w:before="240"/>
        <w:ind w:firstLine="540"/>
        <w:contextualSpacing/>
        <w:jc w:val="both"/>
        <w:rPr>
          <w:sz w:val="28"/>
          <w:szCs w:val="28"/>
        </w:rPr>
      </w:pPr>
      <w:r w:rsidRPr="00AE47C3">
        <w:rPr>
          <w:sz w:val="28"/>
          <w:szCs w:val="28"/>
        </w:rPr>
        <w:t>13&lt;1&gt;. Обязательством муниципальных образований является включение в проектно-сметную документацию мероприятия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пространств населенных пунктов Ярославской области.</w:t>
      </w:r>
    </w:p>
    <w:p w:rsidR="00A50313" w:rsidRPr="00AE47C3" w:rsidRDefault="00E566EF">
      <w:pPr>
        <w:pStyle w:val="ConsPlusNormal"/>
        <w:spacing w:before="240"/>
        <w:ind w:firstLine="540"/>
        <w:contextualSpacing/>
        <w:jc w:val="both"/>
        <w:rPr>
          <w:sz w:val="28"/>
          <w:szCs w:val="28"/>
        </w:rPr>
      </w:pPr>
      <w:r w:rsidRPr="00AE47C3">
        <w:rPr>
          <w:sz w:val="28"/>
          <w:szCs w:val="28"/>
        </w:rPr>
        <w:t>14. В случае образования экономии, сложившейся по итогам проведения конкурентных процедур, муниципальные образования руководствуются Порядком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на реализацию мероприятий (результатов) муниципальных программ, обеспечивающих 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утвержденным постановлением Правительства Ярославской области от 20.02.2025 N 138-п "О Порядке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и внесении изменения в постановление Правительства Ярославской области от 17.07.2020 N 605-п".</w:t>
      </w:r>
    </w:p>
    <w:p w:rsidR="00A50313" w:rsidRPr="00AE47C3" w:rsidRDefault="00E566EF">
      <w:pPr>
        <w:pStyle w:val="ConsPlusNormal"/>
        <w:spacing w:before="240"/>
        <w:ind w:firstLine="540"/>
        <w:contextualSpacing/>
        <w:jc w:val="both"/>
        <w:rPr>
          <w:sz w:val="28"/>
          <w:szCs w:val="28"/>
        </w:rPr>
      </w:pPr>
      <w:r w:rsidRPr="00AE47C3">
        <w:rPr>
          <w:sz w:val="28"/>
          <w:szCs w:val="28"/>
        </w:rPr>
        <w:t>В случае отсутствия потребности в средствах, образовавшихся в результате экономии, сложившейся при проведении конкурентных процедур, перераспределение иных межбюджетных трансфертов между муниципальными образованиями осуществляется по итогам рабочего совещания Губернатора Ярославской области с главами муниципальных образований по хозяйственным вопросам.</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15.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пункте 12 Методики и правил, главному распорядителю средств областного бюджета представлены в отчетном году, </w:t>
      </w:r>
      <w:proofErr w:type="spellStart"/>
      <w:r w:rsidRPr="00AE47C3">
        <w:rPr>
          <w:sz w:val="28"/>
          <w:szCs w:val="28"/>
        </w:rPr>
        <w:t>неперечисленный</w:t>
      </w:r>
      <w:proofErr w:type="spellEnd"/>
      <w:r w:rsidRPr="00AE47C3">
        <w:rPr>
          <w:sz w:val="28"/>
          <w:szCs w:val="28"/>
        </w:rPr>
        <w:t xml:space="preserve"> объем средств, потребность в котором сохраняется, подлежит перечислению в очередном году на те же цели без представления документов, указанных в пункте 12 Методики и правил.</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w:t>
      </w:r>
      <w:proofErr w:type="spellStart"/>
      <w:r w:rsidRPr="00AE47C3">
        <w:rPr>
          <w:sz w:val="28"/>
          <w:szCs w:val="28"/>
        </w:rPr>
        <w:t>МСиЖКХ</w:t>
      </w:r>
      <w:proofErr w:type="spellEnd"/>
      <w:r w:rsidRPr="00AE47C3">
        <w:rPr>
          <w:sz w:val="28"/>
          <w:szCs w:val="28"/>
        </w:rPr>
        <w:t xml:space="preserve"> ЯО решения о наличии (об отсутствии) потребности в данных остатках, определен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w:t>
      </w:r>
      <w:r w:rsidRPr="00AE47C3">
        <w:rPr>
          <w:sz w:val="28"/>
          <w:szCs w:val="28"/>
        </w:rPr>
        <w:lastRenderedPageBreak/>
        <w:t>наличии (об отсутствии) потребности в межбюджетных трансфертах".</w:t>
      </w:r>
    </w:p>
    <w:p w:rsidR="00A50313" w:rsidRPr="00AE47C3" w:rsidRDefault="00E566EF">
      <w:pPr>
        <w:pStyle w:val="ConsPlusNormal"/>
        <w:spacing w:before="240"/>
        <w:ind w:firstLine="540"/>
        <w:contextualSpacing/>
        <w:jc w:val="both"/>
        <w:rPr>
          <w:sz w:val="28"/>
          <w:szCs w:val="28"/>
        </w:rPr>
      </w:pPr>
      <w:r w:rsidRPr="00AE47C3">
        <w:rPr>
          <w:sz w:val="28"/>
          <w:szCs w:val="28"/>
        </w:rPr>
        <w:t>В 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в срок до 01 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AE47C3">
        <w:rPr>
          <w:sz w:val="28"/>
          <w:szCs w:val="28"/>
        </w:rPr>
        <w:t>V</w:t>
      </w:r>
      <w:r w:rsidRPr="00AE47C3">
        <w:rPr>
          <w:sz w:val="28"/>
          <w:szCs w:val="28"/>
          <w:vertAlign w:val="subscript"/>
        </w:rPr>
        <w:t>возврата</w:t>
      </w:r>
      <w:proofErr w:type="spellEnd"/>
      <w:r w:rsidRPr="00AE47C3">
        <w:rPr>
          <w:sz w:val="28"/>
          <w:szCs w:val="28"/>
        </w:rPr>
        <w:t>), определяемом по формуле:</w:t>
      </w:r>
    </w:p>
    <w:p w:rsidR="00A50313" w:rsidRPr="00AE47C3" w:rsidRDefault="00A50313">
      <w:pPr>
        <w:pStyle w:val="ConsPlusNormal"/>
        <w:contextualSpacing/>
        <w:jc w:val="both"/>
        <w:rPr>
          <w:sz w:val="28"/>
          <w:szCs w:val="28"/>
        </w:rPr>
      </w:pPr>
    </w:p>
    <w:p w:rsidR="00A50313" w:rsidRPr="00AE47C3" w:rsidRDefault="00E566EF">
      <w:pPr>
        <w:pStyle w:val="ConsPlusNormal"/>
        <w:contextualSpacing/>
        <w:jc w:val="center"/>
        <w:rPr>
          <w:sz w:val="28"/>
          <w:szCs w:val="28"/>
        </w:rPr>
      </w:pPr>
      <w:proofErr w:type="spellStart"/>
      <w:r w:rsidRPr="00AE47C3">
        <w:rPr>
          <w:sz w:val="28"/>
          <w:szCs w:val="28"/>
        </w:rPr>
        <w:t>V</w:t>
      </w:r>
      <w:r w:rsidRPr="00AE47C3">
        <w:rPr>
          <w:sz w:val="28"/>
          <w:szCs w:val="28"/>
          <w:vertAlign w:val="subscript"/>
        </w:rPr>
        <w:t>возврата</w:t>
      </w:r>
      <w:proofErr w:type="spellEnd"/>
      <w:r w:rsidRPr="00AE47C3">
        <w:rPr>
          <w:sz w:val="28"/>
          <w:szCs w:val="28"/>
        </w:rPr>
        <w:t xml:space="preserve"> = (</w:t>
      </w:r>
      <w:proofErr w:type="spellStart"/>
      <w:r w:rsidRPr="00AE47C3">
        <w:rPr>
          <w:sz w:val="28"/>
          <w:szCs w:val="28"/>
        </w:rPr>
        <w:t>V</w:t>
      </w:r>
      <w:r w:rsidRPr="00AE47C3">
        <w:rPr>
          <w:sz w:val="28"/>
          <w:szCs w:val="28"/>
          <w:vertAlign w:val="subscript"/>
        </w:rPr>
        <w:t>мт</w:t>
      </w:r>
      <w:proofErr w:type="spellEnd"/>
      <w:r w:rsidRPr="00AE47C3">
        <w:rPr>
          <w:sz w:val="28"/>
          <w:szCs w:val="28"/>
        </w:rPr>
        <w:t xml:space="preserve"> x k x m / n) x 0,1,</w:t>
      </w:r>
    </w:p>
    <w:p w:rsidR="00A50313" w:rsidRPr="00AE47C3" w:rsidRDefault="00A50313">
      <w:pPr>
        <w:pStyle w:val="ConsPlusNormal"/>
        <w:contextualSpacing/>
        <w:jc w:val="both"/>
        <w:rPr>
          <w:sz w:val="28"/>
          <w:szCs w:val="28"/>
        </w:rPr>
      </w:pPr>
    </w:p>
    <w:p w:rsidR="00A50313" w:rsidRPr="00AE47C3" w:rsidRDefault="00E566EF">
      <w:pPr>
        <w:pStyle w:val="ConsPlusNormal"/>
        <w:contextualSpacing/>
        <w:rPr>
          <w:sz w:val="28"/>
          <w:szCs w:val="28"/>
        </w:rPr>
      </w:pPr>
      <w:r w:rsidRPr="00AE47C3">
        <w:rPr>
          <w:sz w:val="28"/>
          <w:szCs w:val="28"/>
        </w:rPr>
        <w:t>где:</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 </w:t>
      </w:r>
      <w:proofErr w:type="spellStart"/>
      <w:r w:rsidRPr="00AE47C3">
        <w:rPr>
          <w:sz w:val="28"/>
          <w:szCs w:val="28"/>
        </w:rPr>
        <w:t>V</w:t>
      </w:r>
      <w:r w:rsidRPr="00AE47C3">
        <w:rPr>
          <w:sz w:val="28"/>
          <w:szCs w:val="28"/>
          <w:vertAlign w:val="subscript"/>
        </w:rPr>
        <w:t>мт</w:t>
      </w:r>
      <w:proofErr w:type="spellEnd"/>
      <w:r w:rsidRPr="00AE47C3">
        <w:rPr>
          <w:sz w:val="28"/>
          <w:szCs w:val="28"/>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A50313" w:rsidRPr="00AE47C3" w:rsidRDefault="00E566EF">
      <w:pPr>
        <w:pStyle w:val="ConsPlusNormal"/>
        <w:spacing w:before="240"/>
        <w:ind w:firstLine="540"/>
        <w:contextualSpacing/>
        <w:jc w:val="both"/>
        <w:rPr>
          <w:sz w:val="28"/>
          <w:szCs w:val="28"/>
        </w:rPr>
      </w:pPr>
      <w:r w:rsidRPr="00AE47C3">
        <w:rPr>
          <w:sz w:val="28"/>
          <w:szCs w:val="28"/>
        </w:rPr>
        <w:t>- k - коэффициент возврата иных межбюджетных трансфертов;</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 m - количество результатов предоставления иных межбюджетных трансфертов, по которым индекс, отражающий уровень </w:t>
      </w:r>
      <w:proofErr w:type="spellStart"/>
      <w:r w:rsidRPr="00AE47C3">
        <w:rPr>
          <w:sz w:val="28"/>
          <w:szCs w:val="28"/>
        </w:rPr>
        <w:t>недостижения</w:t>
      </w:r>
      <w:proofErr w:type="spellEnd"/>
      <w:r w:rsidRPr="00AE47C3">
        <w:rPr>
          <w:sz w:val="28"/>
          <w:szCs w:val="28"/>
        </w:rPr>
        <w:t xml:space="preserve"> i-</w:t>
      </w:r>
      <w:proofErr w:type="spellStart"/>
      <w:r w:rsidRPr="00AE47C3">
        <w:rPr>
          <w:sz w:val="28"/>
          <w:szCs w:val="28"/>
        </w:rPr>
        <w:t>го</w:t>
      </w:r>
      <w:proofErr w:type="spellEnd"/>
      <w:r w:rsidRPr="00AE47C3">
        <w:rPr>
          <w:sz w:val="28"/>
          <w:szCs w:val="28"/>
        </w:rPr>
        <w:t xml:space="preserve"> результата предоставления иных межбюджетных трансфертов, имеет положительное значение (больше нуля);</w:t>
      </w:r>
    </w:p>
    <w:p w:rsidR="00A50313" w:rsidRPr="00AE47C3" w:rsidRDefault="00E566EF">
      <w:pPr>
        <w:pStyle w:val="ConsPlusNormal"/>
        <w:spacing w:before="240"/>
        <w:ind w:firstLine="540"/>
        <w:contextualSpacing/>
        <w:jc w:val="both"/>
        <w:rPr>
          <w:sz w:val="28"/>
          <w:szCs w:val="28"/>
        </w:rPr>
      </w:pPr>
      <w:r w:rsidRPr="00AE47C3">
        <w:rPr>
          <w:sz w:val="28"/>
          <w:szCs w:val="28"/>
        </w:rPr>
        <w:t>- n - общее количество результатов предоставления иных межбюджетных трансфертов;</w:t>
      </w:r>
    </w:p>
    <w:p w:rsidR="00A50313" w:rsidRPr="00AE47C3" w:rsidRDefault="00E566EF">
      <w:pPr>
        <w:pStyle w:val="ConsPlusNormal"/>
        <w:spacing w:before="240"/>
        <w:ind w:firstLine="540"/>
        <w:contextualSpacing/>
        <w:jc w:val="both"/>
        <w:rPr>
          <w:sz w:val="28"/>
          <w:szCs w:val="28"/>
        </w:rPr>
      </w:pPr>
      <w:r w:rsidRPr="00AE47C3">
        <w:rPr>
          <w:sz w:val="28"/>
          <w:szCs w:val="28"/>
        </w:rPr>
        <w:t>- 0,1 - понижающий коэффициент суммы возврата иных межбюджетных трансфертов.</w:t>
      </w:r>
    </w:p>
    <w:p w:rsidR="00A50313" w:rsidRPr="00AE47C3" w:rsidRDefault="00E566EF">
      <w:pPr>
        <w:pStyle w:val="ConsPlusNormal"/>
        <w:spacing w:before="240"/>
        <w:ind w:firstLine="540"/>
        <w:contextualSpacing/>
        <w:jc w:val="both"/>
        <w:rPr>
          <w:sz w:val="28"/>
          <w:szCs w:val="28"/>
        </w:rPr>
      </w:pPr>
      <w:r w:rsidRPr="00AE47C3">
        <w:rPr>
          <w:sz w:val="28"/>
          <w:szCs w:val="28"/>
        </w:rPr>
        <w:t>Коэффициент возврата иных межбюджетных трансфертов (k) рассчитывается по формуле:</w:t>
      </w:r>
    </w:p>
    <w:p w:rsidR="00A50313" w:rsidRPr="00AE47C3" w:rsidRDefault="00A50313">
      <w:pPr>
        <w:pStyle w:val="ConsPlusNormal"/>
        <w:contextualSpacing/>
        <w:jc w:val="both"/>
        <w:rPr>
          <w:sz w:val="28"/>
          <w:szCs w:val="28"/>
        </w:rPr>
      </w:pPr>
    </w:p>
    <w:p w:rsidR="00A50313" w:rsidRPr="00AE47C3" w:rsidRDefault="00E566EF">
      <w:pPr>
        <w:pStyle w:val="ConsPlusNormal"/>
        <w:contextualSpacing/>
        <w:jc w:val="center"/>
        <w:rPr>
          <w:sz w:val="28"/>
          <w:szCs w:val="28"/>
        </w:rPr>
      </w:pPr>
      <w:r w:rsidRPr="00AE47C3">
        <w:rPr>
          <w:noProof/>
          <w:position w:val="-12"/>
          <w:sz w:val="28"/>
          <w:szCs w:val="28"/>
        </w:rPr>
        <w:drawing>
          <wp:inline distT="0" distB="0" distL="0" distR="0">
            <wp:extent cx="1051560" cy="3086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1560" cy="308610"/>
                    </a:xfrm>
                    <a:prstGeom prst="rect">
                      <a:avLst/>
                    </a:prstGeom>
                    <a:noFill/>
                    <a:ln>
                      <a:noFill/>
                    </a:ln>
                  </pic:spPr>
                </pic:pic>
              </a:graphicData>
            </a:graphic>
          </wp:inline>
        </w:drawing>
      </w:r>
    </w:p>
    <w:p w:rsidR="00A50313" w:rsidRPr="00AE47C3" w:rsidRDefault="00A50313">
      <w:pPr>
        <w:pStyle w:val="ConsPlusNormal"/>
        <w:contextualSpacing/>
        <w:jc w:val="both"/>
        <w:rPr>
          <w:sz w:val="28"/>
          <w:szCs w:val="28"/>
        </w:rPr>
      </w:pPr>
    </w:p>
    <w:p w:rsidR="00A50313" w:rsidRPr="00AE47C3" w:rsidRDefault="00E566EF">
      <w:pPr>
        <w:pStyle w:val="ConsPlusNormal"/>
        <w:ind w:firstLine="540"/>
        <w:contextualSpacing/>
        <w:jc w:val="both"/>
        <w:rPr>
          <w:sz w:val="28"/>
          <w:szCs w:val="28"/>
        </w:rPr>
      </w:pPr>
      <w:r w:rsidRPr="00AE47C3">
        <w:rPr>
          <w:sz w:val="28"/>
          <w:szCs w:val="28"/>
        </w:rPr>
        <w:t xml:space="preserve">где </w:t>
      </w:r>
      <w:proofErr w:type="spellStart"/>
      <w:r w:rsidRPr="00AE47C3">
        <w:rPr>
          <w:sz w:val="28"/>
          <w:szCs w:val="28"/>
        </w:rPr>
        <w:t>Di</w:t>
      </w:r>
      <w:proofErr w:type="spellEnd"/>
      <w:r w:rsidRPr="00AE47C3">
        <w:rPr>
          <w:sz w:val="28"/>
          <w:szCs w:val="28"/>
        </w:rPr>
        <w:t xml:space="preserve"> - индекс, отражающий уровень </w:t>
      </w:r>
      <w:proofErr w:type="spellStart"/>
      <w:r w:rsidRPr="00AE47C3">
        <w:rPr>
          <w:sz w:val="28"/>
          <w:szCs w:val="28"/>
        </w:rPr>
        <w:t>недостижения</w:t>
      </w:r>
      <w:proofErr w:type="spellEnd"/>
      <w:r w:rsidRPr="00AE47C3">
        <w:rPr>
          <w:sz w:val="28"/>
          <w:szCs w:val="28"/>
        </w:rPr>
        <w:t xml:space="preserve"> i-</w:t>
      </w:r>
      <w:proofErr w:type="spellStart"/>
      <w:r w:rsidRPr="00AE47C3">
        <w:rPr>
          <w:sz w:val="28"/>
          <w:szCs w:val="28"/>
        </w:rPr>
        <w:t>го</w:t>
      </w:r>
      <w:proofErr w:type="spellEnd"/>
      <w:r w:rsidRPr="00AE47C3">
        <w:rPr>
          <w:sz w:val="28"/>
          <w:szCs w:val="28"/>
        </w:rPr>
        <w:t xml:space="preserve"> результата предоставления иных межбюджетных трансфертов.</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При расчете коэффициента возврата иных межбюджетных трансфертов используются только положительные значения индекса, отражающего уровень </w:t>
      </w:r>
      <w:proofErr w:type="spellStart"/>
      <w:r w:rsidRPr="00AE47C3">
        <w:rPr>
          <w:sz w:val="28"/>
          <w:szCs w:val="28"/>
        </w:rPr>
        <w:t>недостижения</w:t>
      </w:r>
      <w:proofErr w:type="spellEnd"/>
      <w:r w:rsidRPr="00AE47C3">
        <w:rPr>
          <w:sz w:val="28"/>
          <w:szCs w:val="28"/>
        </w:rPr>
        <w:t xml:space="preserve"> i-</w:t>
      </w:r>
      <w:proofErr w:type="spellStart"/>
      <w:r w:rsidRPr="00AE47C3">
        <w:rPr>
          <w:sz w:val="28"/>
          <w:szCs w:val="28"/>
        </w:rPr>
        <w:t>го</w:t>
      </w:r>
      <w:proofErr w:type="spellEnd"/>
      <w:r w:rsidRPr="00AE47C3">
        <w:rPr>
          <w:sz w:val="28"/>
          <w:szCs w:val="28"/>
        </w:rPr>
        <w:t xml:space="preserve"> результата предоставления иных межбюджетных трансфертов.</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Индекс, отражающий уровень </w:t>
      </w:r>
      <w:proofErr w:type="spellStart"/>
      <w:r w:rsidRPr="00AE47C3">
        <w:rPr>
          <w:sz w:val="28"/>
          <w:szCs w:val="28"/>
        </w:rPr>
        <w:t>недостижения</w:t>
      </w:r>
      <w:proofErr w:type="spellEnd"/>
      <w:r w:rsidRPr="00AE47C3">
        <w:rPr>
          <w:sz w:val="28"/>
          <w:szCs w:val="28"/>
        </w:rPr>
        <w:t xml:space="preserve"> i-</w:t>
      </w:r>
      <w:proofErr w:type="spellStart"/>
      <w:r w:rsidRPr="00AE47C3">
        <w:rPr>
          <w:sz w:val="28"/>
          <w:szCs w:val="28"/>
        </w:rPr>
        <w:t>го</w:t>
      </w:r>
      <w:proofErr w:type="spellEnd"/>
      <w:r w:rsidRPr="00AE47C3">
        <w:rPr>
          <w:sz w:val="28"/>
          <w:szCs w:val="28"/>
        </w:rPr>
        <w:t xml:space="preserve"> результата предоставления иных межбюджетных трансфертов (</w:t>
      </w:r>
      <w:proofErr w:type="spellStart"/>
      <w:r w:rsidRPr="00AE47C3">
        <w:rPr>
          <w:sz w:val="28"/>
          <w:szCs w:val="28"/>
        </w:rPr>
        <w:t>Di</w:t>
      </w:r>
      <w:proofErr w:type="spellEnd"/>
      <w:r w:rsidRPr="00AE47C3">
        <w:rPr>
          <w:sz w:val="28"/>
          <w:szCs w:val="28"/>
        </w:rPr>
        <w:t>), определяется по формуле:</w:t>
      </w:r>
    </w:p>
    <w:p w:rsidR="00A50313" w:rsidRPr="00AE47C3" w:rsidRDefault="00A50313">
      <w:pPr>
        <w:pStyle w:val="ConsPlusNormal"/>
        <w:contextualSpacing/>
        <w:jc w:val="both"/>
        <w:rPr>
          <w:sz w:val="28"/>
          <w:szCs w:val="28"/>
        </w:rPr>
      </w:pPr>
    </w:p>
    <w:p w:rsidR="00A50313" w:rsidRPr="00AE47C3" w:rsidRDefault="00E566EF">
      <w:pPr>
        <w:pStyle w:val="ConsPlusNormal"/>
        <w:contextualSpacing/>
        <w:jc w:val="center"/>
        <w:rPr>
          <w:sz w:val="28"/>
          <w:szCs w:val="28"/>
        </w:rPr>
      </w:pPr>
      <w:proofErr w:type="spellStart"/>
      <w:r w:rsidRPr="00AE47C3">
        <w:rPr>
          <w:sz w:val="28"/>
          <w:szCs w:val="28"/>
        </w:rPr>
        <w:lastRenderedPageBreak/>
        <w:t>Di</w:t>
      </w:r>
      <w:proofErr w:type="spellEnd"/>
      <w:r w:rsidRPr="00AE47C3">
        <w:rPr>
          <w:sz w:val="28"/>
          <w:szCs w:val="28"/>
        </w:rPr>
        <w:t xml:space="preserve"> = 1 - </w:t>
      </w:r>
      <w:proofErr w:type="spellStart"/>
      <w:r w:rsidRPr="00AE47C3">
        <w:rPr>
          <w:sz w:val="28"/>
          <w:szCs w:val="28"/>
        </w:rPr>
        <w:t>Ti</w:t>
      </w:r>
      <w:proofErr w:type="spellEnd"/>
      <w:r w:rsidRPr="00AE47C3">
        <w:rPr>
          <w:sz w:val="28"/>
          <w:szCs w:val="28"/>
        </w:rPr>
        <w:t xml:space="preserve"> / </w:t>
      </w:r>
      <w:proofErr w:type="spellStart"/>
      <w:r w:rsidRPr="00AE47C3">
        <w:rPr>
          <w:sz w:val="28"/>
          <w:szCs w:val="28"/>
        </w:rPr>
        <w:t>Si</w:t>
      </w:r>
      <w:proofErr w:type="spellEnd"/>
      <w:r w:rsidRPr="00AE47C3">
        <w:rPr>
          <w:sz w:val="28"/>
          <w:szCs w:val="28"/>
        </w:rPr>
        <w:t>,</w:t>
      </w:r>
    </w:p>
    <w:p w:rsidR="00A50313" w:rsidRPr="00AE47C3" w:rsidRDefault="00A50313">
      <w:pPr>
        <w:pStyle w:val="ConsPlusNormal"/>
        <w:contextualSpacing/>
        <w:jc w:val="both"/>
        <w:rPr>
          <w:sz w:val="28"/>
          <w:szCs w:val="28"/>
        </w:rPr>
      </w:pPr>
    </w:p>
    <w:p w:rsidR="00A50313" w:rsidRPr="00AE47C3" w:rsidRDefault="00E566EF">
      <w:pPr>
        <w:pStyle w:val="ConsPlusNormal"/>
        <w:contextualSpacing/>
        <w:rPr>
          <w:sz w:val="28"/>
          <w:szCs w:val="28"/>
        </w:rPr>
      </w:pPr>
      <w:r w:rsidRPr="00AE47C3">
        <w:rPr>
          <w:sz w:val="28"/>
          <w:szCs w:val="28"/>
        </w:rPr>
        <w:t>где:</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 </w:t>
      </w:r>
      <w:proofErr w:type="spellStart"/>
      <w:r w:rsidRPr="00AE47C3">
        <w:rPr>
          <w:sz w:val="28"/>
          <w:szCs w:val="28"/>
        </w:rPr>
        <w:t>Ti</w:t>
      </w:r>
      <w:proofErr w:type="spellEnd"/>
      <w:r w:rsidRPr="00AE47C3">
        <w:rPr>
          <w:sz w:val="28"/>
          <w:szCs w:val="28"/>
        </w:rPr>
        <w:t xml:space="preserve"> - фактически достигнутое значение i-</w:t>
      </w:r>
      <w:proofErr w:type="spellStart"/>
      <w:r w:rsidRPr="00AE47C3">
        <w:rPr>
          <w:sz w:val="28"/>
          <w:szCs w:val="28"/>
        </w:rPr>
        <w:t>го</w:t>
      </w:r>
      <w:proofErr w:type="spellEnd"/>
      <w:r w:rsidRPr="00AE47C3">
        <w:rPr>
          <w:sz w:val="28"/>
          <w:szCs w:val="28"/>
        </w:rPr>
        <w:t xml:space="preserve"> результата предоставления иных межбюджетных трансфертов на отчетную дату;</w:t>
      </w:r>
    </w:p>
    <w:p w:rsidR="00A50313" w:rsidRPr="00AE47C3" w:rsidRDefault="00E566EF">
      <w:pPr>
        <w:pStyle w:val="ConsPlusNormal"/>
        <w:spacing w:before="240"/>
        <w:ind w:firstLine="540"/>
        <w:contextualSpacing/>
        <w:jc w:val="both"/>
        <w:rPr>
          <w:sz w:val="28"/>
          <w:szCs w:val="28"/>
        </w:rPr>
      </w:pPr>
      <w:r w:rsidRPr="00AE47C3">
        <w:rPr>
          <w:sz w:val="28"/>
          <w:szCs w:val="28"/>
        </w:rPr>
        <w:t xml:space="preserve">- </w:t>
      </w:r>
      <w:proofErr w:type="spellStart"/>
      <w:r w:rsidRPr="00AE47C3">
        <w:rPr>
          <w:sz w:val="28"/>
          <w:szCs w:val="28"/>
        </w:rPr>
        <w:t>Si</w:t>
      </w:r>
      <w:proofErr w:type="spellEnd"/>
      <w:r w:rsidRPr="00AE47C3">
        <w:rPr>
          <w:sz w:val="28"/>
          <w:szCs w:val="28"/>
        </w:rPr>
        <w:t xml:space="preserve"> - плановое значение i-</w:t>
      </w:r>
      <w:proofErr w:type="spellStart"/>
      <w:r w:rsidRPr="00AE47C3">
        <w:rPr>
          <w:sz w:val="28"/>
          <w:szCs w:val="28"/>
        </w:rPr>
        <w:t>го</w:t>
      </w:r>
      <w:proofErr w:type="spellEnd"/>
      <w:r w:rsidRPr="00AE47C3">
        <w:rPr>
          <w:sz w:val="28"/>
          <w:szCs w:val="28"/>
        </w:rPr>
        <w:t xml:space="preserve"> результата предоставления иных межбюджетных трансфертов, установленное соглашением.</w:t>
      </w:r>
    </w:p>
    <w:p w:rsidR="00A50313" w:rsidRPr="00AE47C3" w:rsidRDefault="00E566EF">
      <w:pPr>
        <w:pStyle w:val="ConsPlusNormal"/>
        <w:spacing w:before="240"/>
        <w:ind w:firstLine="540"/>
        <w:contextualSpacing/>
        <w:jc w:val="both"/>
        <w:rPr>
          <w:sz w:val="28"/>
          <w:szCs w:val="28"/>
        </w:rPr>
      </w:pPr>
      <w:r w:rsidRPr="00AE47C3">
        <w:rPr>
          <w:sz w:val="28"/>
          <w:szCs w:val="28"/>
        </w:rPr>
        <w:t>16. Ответственность за нецелевое использование иных межбюджетных трансфертов, а также за недостоверность представляемых сведений возлагается на получателя.</w:t>
      </w:r>
    </w:p>
    <w:p w:rsidR="00A50313" w:rsidRPr="00AE47C3" w:rsidRDefault="00E566EF">
      <w:pPr>
        <w:pStyle w:val="ConsPlusNormal"/>
        <w:spacing w:before="240"/>
        <w:ind w:firstLine="540"/>
        <w:contextualSpacing/>
        <w:jc w:val="both"/>
        <w:rPr>
          <w:sz w:val="28"/>
          <w:szCs w:val="28"/>
        </w:rPr>
      </w:pPr>
      <w:r w:rsidRPr="00AE47C3">
        <w:rPr>
          <w:sz w:val="28"/>
          <w:szCs w:val="28"/>
        </w:rPr>
        <w:t>В случае нецелевого использования иных межбюджетных трансфертов к получателю применяются бюджетные меры принуждения, предусмотренные законодательством Российской Федерации.</w:t>
      </w:r>
    </w:p>
    <w:p w:rsidR="00D13A3D" w:rsidRDefault="00E566EF" w:rsidP="00D13A3D">
      <w:pPr>
        <w:pStyle w:val="ConsPlusNormal"/>
        <w:spacing w:before="240"/>
        <w:ind w:firstLine="540"/>
        <w:contextualSpacing/>
        <w:jc w:val="both"/>
        <w:rPr>
          <w:sz w:val="28"/>
          <w:szCs w:val="28"/>
        </w:rPr>
      </w:pPr>
      <w:r w:rsidRPr="00AE47C3">
        <w:rPr>
          <w:sz w:val="28"/>
          <w:szCs w:val="28"/>
        </w:rPr>
        <w:t xml:space="preserve">17. Контроль за соблюдением условий предоставления иных межбюджетных трансфертов осуществляют </w:t>
      </w:r>
      <w:proofErr w:type="spellStart"/>
      <w:r w:rsidRPr="00AE47C3">
        <w:rPr>
          <w:sz w:val="28"/>
          <w:szCs w:val="28"/>
        </w:rPr>
        <w:t>МСиЖКХ</w:t>
      </w:r>
      <w:proofErr w:type="spellEnd"/>
      <w:r w:rsidRPr="00AE47C3">
        <w:rPr>
          <w:sz w:val="28"/>
          <w:szCs w:val="28"/>
        </w:rPr>
        <w:t xml:space="preserve"> ЯО и органы государственного финансового контроля в соответствии с действующим законодательством.</w:t>
      </w: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D13A3D" w:rsidRDefault="00D13A3D" w:rsidP="00D13A3D">
      <w:pPr>
        <w:pStyle w:val="ConsPlusNormal"/>
        <w:spacing w:before="240"/>
        <w:ind w:firstLine="540"/>
        <w:contextualSpacing/>
        <w:jc w:val="both"/>
        <w:rPr>
          <w:sz w:val="28"/>
          <w:szCs w:val="28"/>
        </w:rPr>
      </w:pPr>
    </w:p>
    <w:p w:rsidR="002738EF" w:rsidRDefault="00AE47C3" w:rsidP="00AE47C3">
      <w:pPr>
        <w:pStyle w:val="ConsPlusNormal"/>
        <w:tabs>
          <w:tab w:val="left" w:pos="5944"/>
          <w:tab w:val="right" w:pos="10207"/>
        </w:tabs>
        <w:outlineLvl w:val="0"/>
        <w:rPr>
          <w:sz w:val="28"/>
          <w:szCs w:val="28"/>
        </w:rPr>
      </w:pPr>
      <w:r>
        <w:rPr>
          <w:sz w:val="28"/>
          <w:szCs w:val="28"/>
        </w:rPr>
        <w:tab/>
      </w:r>
      <w:r>
        <w:rPr>
          <w:sz w:val="28"/>
          <w:szCs w:val="28"/>
        </w:rPr>
        <w:tab/>
      </w:r>
    </w:p>
    <w:p w:rsidR="002738EF" w:rsidRDefault="002738EF" w:rsidP="00AE47C3">
      <w:pPr>
        <w:pStyle w:val="ConsPlusNormal"/>
        <w:tabs>
          <w:tab w:val="left" w:pos="5944"/>
          <w:tab w:val="right" w:pos="10207"/>
        </w:tabs>
        <w:outlineLvl w:val="0"/>
        <w:rPr>
          <w:sz w:val="28"/>
          <w:szCs w:val="28"/>
        </w:rPr>
      </w:pPr>
    </w:p>
    <w:p w:rsidR="00A50313" w:rsidRPr="00AE47C3" w:rsidRDefault="00E566EF" w:rsidP="002738EF">
      <w:pPr>
        <w:pStyle w:val="ConsPlusNormal"/>
        <w:tabs>
          <w:tab w:val="left" w:pos="5944"/>
          <w:tab w:val="right" w:pos="10207"/>
        </w:tabs>
        <w:jc w:val="right"/>
        <w:outlineLvl w:val="0"/>
        <w:rPr>
          <w:sz w:val="28"/>
          <w:szCs w:val="28"/>
        </w:rPr>
      </w:pPr>
      <w:r w:rsidRPr="00AE47C3">
        <w:rPr>
          <w:sz w:val="28"/>
          <w:szCs w:val="28"/>
        </w:rPr>
        <w:lastRenderedPageBreak/>
        <w:t>Приложение</w:t>
      </w:r>
    </w:p>
    <w:p w:rsidR="00A50313" w:rsidRPr="00AE47C3" w:rsidRDefault="00E566EF">
      <w:pPr>
        <w:pStyle w:val="ConsPlusNormal"/>
        <w:jc w:val="right"/>
        <w:rPr>
          <w:sz w:val="28"/>
          <w:szCs w:val="28"/>
        </w:rPr>
      </w:pPr>
      <w:r w:rsidRPr="00AE47C3">
        <w:rPr>
          <w:sz w:val="28"/>
          <w:szCs w:val="28"/>
        </w:rPr>
        <w:t xml:space="preserve">к </w:t>
      </w:r>
      <w:hyperlink w:anchor="P0" w:tooltip="МЕТОДИКА">
        <w:r w:rsidRPr="00AE47C3">
          <w:rPr>
            <w:sz w:val="28"/>
            <w:szCs w:val="28"/>
          </w:rPr>
          <w:t>Методике</w:t>
        </w:r>
      </w:hyperlink>
      <w:r w:rsidRPr="00AE47C3">
        <w:rPr>
          <w:sz w:val="28"/>
          <w:szCs w:val="28"/>
        </w:rPr>
        <w:t xml:space="preserve"> распределения и правилам</w:t>
      </w:r>
    </w:p>
    <w:p w:rsidR="00A50313" w:rsidRPr="00AE47C3" w:rsidRDefault="00E566EF">
      <w:pPr>
        <w:pStyle w:val="ConsPlusNormal"/>
        <w:jc w:val="right"/>
        <w:rPr>
          <w:sz w:val="28"/>
          <w:szCs w:val="28"/>
        </w:rPr>
      </w:pPr>
      <w:r w:rsidRPr="00AE47C3">
        <w:rPr>
          <w:sz w:val="28"/>
          <w:szCs w:val="28"/>
        </w:rPr>
        <w:t>предоставления иных межбюджетных</w:t>
      </w:r>
    </w:p>
    <w:p w:rsidR="00A50313" w:rsidRPr="00AE47C3" w:rsidRDefault="00E566EF">
      <w:pPr>
        <w:pStyle w:val="ConsPlusNormal"/>
        <w:jc w:val="right"/>
        <w:rPr>
          <w:sz w:val="28"/>
          <w:szCs w:val="28"/>
        </w:rPr>
      </w:pPr>
      <w:r w:rsidRPr="00AE47C3">
        <w:rPr>
          <w:sz w:val="28"/>
          <w:szCs w:val="28"/>
        </w:rPr>
        <w:t>трансфертов на благоустройство</w:t>
      </w:r>
    </w:p>
    <w:p w:rsidR="00A50313" w:rsidRPr="00AE47C3" w:rsidRDefault="00E566EF">
      <w:pPr>
        <w:pStyle w:val="ConsPlusNormal"/>
        <w:jc w:val="right"/>
        <w:rPr>
          <w:sz w:val="28"/>
          <w:szCs w:val="28"/>
        </w:rPr>
      </w:pPr>
      <w:r w:rsidRPr="00AE47C3">
        <w:rPr>
          <w:sz w:val="28"/>
          <w:szCs w:val="28"/>
        </w:rPr>
        <w:t>исторических центров городов</w:t>
      </w:r>
    </w:p>
    <w:p w:rsidR="00A50313" w:rsidRPr="00AE47C3" w:rsidRDefault="00A50313">
      <w:pPr>
        <w:pStyle w:val="ConsPlusNormal"/>
        <w:jc w:val="both"/>
        <w:rPr>
          <w:sz w:val="28"/>
          <w:szCs w:val="28"/>
        </w:rPr>
      </w:pPr>
    </w:p>
    <w:p w:rsidR="00A50313" w:rsidRPr="00B8173B" w:rsidRDefault="00E566EF" w:rsidP="00AE47C3">
      <w:pPr>
        <w:pStyle w:val="ConsPlusNormal"/>
        <w:jc w:val="right"/>
        <w:rPr>
          <w:sz w:val="28"/>
          <w:szCs w:val="28"/>
        </w:rPr>
      </w:pPr>
      <w:r w:rsidRPr="00B8173B">
        <w:rPr>
          <w:sz w:val="28"/>
          <w:szCs w:val="28"/>
        </w:rPr>
        <w:t>Форма</w:t>
      </w:r>
    </w:p>
    <w:p w:rsidR="00A50313" w:rsidRPr="00B8173B" w:rsidRDefault="00E566EF" w:rsidP="00AE47C3">
      <w:pPr>
        <w:pStyle w:val="ConsPlusNonformat"/>
        <w:jc w:val="center"/>
        <w:rPr>
          <w:rFonts w:ascii="Times New Roman" w:hAnsi="Times New Roman" w:cs="Times New Roman"/>
          <w:sz w:val="28"/>
          <w:szCs w:val="28"/>
        </w:rPr>
      </w:pPr>
      <w:bookmarkStart w:id="5" w:name="P139"/>
      <w:bookmarkEnd w:id="5"/>
      <w:r w:rsidRPr="00B8173B">
        <w:rPr>
          <w:rFonts w:ascii="Times New Roman" w:hAnsi="Times New Roman" w:cs="Times New Roman"/>
          <w:sz w:val="28"/>
          <w:szCs w:val="28"/>
        </w:rPr>
        <w:t>ЗАЯВКА</w:t>
      </w:r>
    </w:p>
    <w:p w:rsidR="00A50313" w:rsidRPr="00B8173B" w:rsidRDefault="00E566EF" w:rsidP="00AE47C3">
      <w:pPr>
        <w:pStyle w:val="ConsPlusNonformat"/>
        <w:jc w:val="center"/>
        <w:rPr>
          <w:rFonts w:ascii="Times New Roman" w:hAnsi="Times New Roman" w:cs="Times New Roman"/>
          <w:sz w:val="28"/>
          <w:szCs w:val="28"/>
        </w:rPr>
      </w:pPr>
      <w:r w:rsidRPr="00B8173B">
        <w:rPr>
          <w:rFonts w:ascii="Times New Roman" w:hAnsi="Times New Roman" w:cs="Times New Roman"/>
          <w:sz w:val="28"/>
          <w:szCs w:val="28"/>
        </w:rPr>
        <w:t>на перечисление иных межбюджетных трансфертов</w:t>
      </w:r>
    </w:p>
    <w:p w:rsidR="00A50313" w:rsidRPr="00B8173B" w:rsidRDefault="00E566EF" w:rsidP="00AE47C3">
      <w:pPr>
        <w:pStyle w:val="ConsPlusNonformat"/>
        <w:jc w:val="center"/>
        <w:rPr>
          <w:rFonts w:ascii="Times New Roman" w:hAnsi="Times New Roman" w:cs="Times New Roman"/>
          <w:sz w:val="28"/>
          <w:szCs w:val="28"/>
        </w:rPr>
      </w:pPr>
      <w:r w:rsidRPr="00B8173B">
        <w:rPr>
          <w:rFonts w:ascii="Times New Roman" w:hAnsi="Times New Roman" w:cs="Times New Roman"/>
          <w:sz w:val="28"/>
          <w:szCs w:val="28"/>
        </w:rPr>
        <w:t>на благоустройство исторических центров городов</w:t>
      </w:r>
    </w:p>
    <w:p w:rsidR="00A50313" w:rsidRPr="00B8173B" w:rsidRDefault="00E566EF" w:rsidP="00AE47C3">
      <w:pPr>
        <w:pStyle w:val="ConsPlusNonformat"/>
        <w:jc w:val="center"/>
        <w:rPr>
          <w:rFonts w:ascii="Times New Roman" w:hAnsi="Times New Roman" w:cs="Times New Roman"/>
          <w:sz w:val="28"/>
          <w:szCs w:val="28"/>
        </w:rPr>
      </w:pPr>
      <w:r w:rsidRPr="00B8173B">
        <w:rPr>
          <w:rFonts w:ascii="Times New Roman" w:hAnsi="Times New Roman" w:cs="Times New Roman"/>
          <w:sz w:val="28"/>
          <w:szCs w:val="28"/>
        </w:rPr>
        <w:t>_____________________________________________________________</w:t>
      </w:r>
    </w:p>
    <w:p w:rsidR="00A50313" w:rsidRPr="00B8173B" w:rsidRDefault="00E566EF" w:rsidP="00AE47C3">
      <w:pPr>
        <w:pStyle w:val="ConsPlusNonformat"/>
        <w:jc w:val="center"/>
        <w:rPr>
          <w:rFonts w:ascii="Times New Roman" w:hAnsi="Times New Roman" w:cs="Times New Roman"/>
          <w:sz w:val="28"/>
          <w:szCs w:val="28"/>
        </w:rPr>
      </w:pPr>
      <w:r w:rsidRPr="00B8173B">
        <w:rPr>
          <w:rFonts w:ascii="Times New Roman" w:hAnsi="Times New Roman" w:cs="Times New Roman"/>
          <w:sz w:val="28"/>
          <w:szCs w:val="28"/>
        </w:rPr>
        <w:t>(наименование муниципального образования Ярославской области)</w:t>
      </w:r>
    </w:p>
    <w:p w:rsidR="00A50313" w:rsidRPr="00B8173B" w:rsidRDefault="00E566EF" w:rsidP="00AE47C3">
      <w:pPr>
        <w:pStyle w:val="ConsPlusNonformat"/>
        <w:jc w:val="center"/>
        <w:rPr>
          <w:rFonts w:ascii="Times New Roman" w:hAnsi="Times New Roman" w:cs="Times New Roman"/>
          <w:sz w:val="28"/>
          <w:szCs w:val="28"/>
        </w:rPr>
      </w:pPr>
      <w:r w:rsidRPr="00B8173B">
        <w:rPr>
          <w:rFonts w:ascii="Times New Roman" w:hAnsi="Times New Roman" w:cs="Times New Roman"/>
          <w:sz w:val="28"/>
          <w:szCs w:val="28"/>
        </w:rPr>
        <w:t>от ____________ 20___ г.</w:t>
      </w:r>
    </w:p>
    <w:p w:rsidR="00A50313" w:rsidRPr="00B8173B" w:rsidRDefault="00A50313">
      <w:pPr>
        <w:pStyle w:val="ConsPlusNormal"/>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81"/>
        <w:gridCol w:w="1304"/>
        <w:gridCol w:w="2104"/>
        <w:gridCol w:w="2127"/>
        <w:gridCol w:w="1842"/>
      </w:tblGrid>
      <w:tr w:rsidR="00A50313" w:rsidRPr="00B8173B" w:rsidTr="00AE47C3">
        <w:tc>
          <w:tcPr>
            <w:tcW w:w="510" w:type="dxa"/>
            <w:vMerge w:val="restart"/>
          </w:tcPr>
          <w:p w:rsidR="00A50313" w:rsidRPr="00AE47C3" w:rsidRDefault="00E566EF">
            <w:pPr>
              <w:pStyle w:val="ConsPlusNormal"/>
              <w:jc w:val="center"/>
              <w:rPr>
                <w:szCs w:val="24"/>
              </w:rPr>
            </w:pPr>
            <w:r w:rsidRPr="00AE47C3">
              <w:rPr>
                <w:szCs w:val="24"/>
              </w:rPr>
              <w:t>N</w:t>
            </w:r>
          </w:p>
          <w:p w:rsidR="00A50313" w:rsidRPr="00AE47C3" w:rsidRDefault="00E566EF">
            <w:pPr>
              <w:pStyle w:val="ConsPlusNormal"/>
              <w:jc w:val="center"/>
              <w:rPr>
                <w:szCs w:val="24"/>
              </w:rPr>
            </w:pPr>
            <w:r w:rsidRPr="00AE47C3">
              <w:rPr>
                <w:szCs w:val="24"/>
              </w:rPr>
              <w:t>п/п</w:t>
            </w:r>
          </w:p>
        </w:tc>
        <w:tc>
          <w:tcPr>
            <w:tcW w:w="2381" w:type="dxa"/>
            <w:vMerge w:val="restart"/>
          </w:tcPr>
          <w:p w:rsidR="00A50313" w:rsidRPr="00AE47C3" w:rsidRDefault="00E566EF">
            <w:pPr>
              <w:pStyle w:val="ConsPlusNormal"/>
              <w:jc w:val="center"/>
              <w:rPr>
                <w:szCs w:val="24"/>
              </w:rPr>
            </w:pPr>
            <w:r w:rsidRPr="00AE47C3">
              <w:rPr>
                <w:szCs w:val="24"/>
              </w:rPr>
              <w:t>Наименование мероприятия по благоустройству исторических центров городов</w:t>
            </w:r>
          </w:p>
        </w:tc>
        <w:tc>
          <w:tcPr>
            <w:tcW w:w="5535" w:type="dxa"/>
            <w:gridSpan w:val="3"/>
          </w:tcPr>
          <w:p w:rsidR="00A50313" w:rsidRPr="00AE47C3" w:rsidRDefault="00E566EF">
            <w:pPr>
              <w:pStyle w:val="ConsPlusNormal"/>
              <w:jc w:val="center"/>
              <w:rPr>
                <w:szCs w:val="24"/>
              </w:rPr>
            </w:pPr>
            <w:r w:rsidRPr="00AE47C3">
              <w:rPr>
                <w:szCs w:val="24"/>
              </w:rPr>
              <w:t>Объем финансирования мероприятий по благоустройству исторических центров городов, руб.</w:t>
            </w:r>
          </w:p>
        </w:tc>
        <w:tc>
          <w:tcPr>
            <w:tcW w:w="1842" w:type="dxa"/>
            <w:vMerge w:val="restart"/>
          </w:tcPr>
          <w:p w:rsidR="00A50313" w:rsidRPr="00AE47C3" w:rsidRDefault="00E566EF">
            <w:pPr>
              <w:pStyle w:val="ConsPlusNormal"/>
              <w:jc w:val="center"/>
              <w:rPr>
                <w:szCs w:val="24"/>
              </w:rPr>
            </w:pPr>
            <w:r w:rsidRPr="00AE47C3">
              <w:rPr>
                <w:szCs w:val="24"/>
              </w:rPr>
              <w:t>Сумма по актам выполненных работ, руб.</w:t>
            </w:r>
          </w:p>
        </w:tc>
      </w:tr>
      <w:tr w:rsidR="00A50313" w:rsidRPr="00B8173B" w:rsidTr="00AE47C3">
        <w:tc>
          <w:tcPr>
            <w:tcW w:w="510" w:type="dxa"/>
            <w:vMerge/>
          </w:tcPr>
          <w:p w:rsidR="00A50313" w:rsidRPr="00AE47C3" w:rsidRDefault="00A50313">
            <w:pPr>
              <w:pStyle w:val="ConsPlusNormal"/>
              <w:rPr>
                <w:szCs w:val="24"/>
              </w:rPr>
            </w:pPr>
          </w:p>
        </w:tc>
        <w:tc>
          <w:tcPr>
            <w:tcW w:w="2381" w:type="dxa"/>
            <w:vMerge/>
          </w:tcPr>
          <w:p w:rsidR="00A50313" w:rsidRPr="00AE47C3" w:rsidRDefault="00A50313">
            <w:pPr>
              <w:pStyle w:val="ConsPlusNormal"/>
              <w:rPr>
                <w:szCs w:val="24"/>
              </w:rPr>
            </w:pPr>
          </w:p>
        </w:tc>
        <w:tc>
          <w:tcPr>
            <w:tcW w:w="1304" w:type="dxa"/>
            <w:vMerge w:val="restart"/>
          </w:tcPr>
          <w:p w:rsidR="00A50313" w:rsidRPr="00AE47C3" w:rsidRDefault="00E566EF">
            <w:pPr>
              <w:pStyle w:val="ConsPlusNormal"/>
              <w:jc w:val="center"/>
              <w:rPr>
                <w:szCs w:val="24"/>
              </w:rPr>
            </w:pPr>
            <w:r w:rsidRPr="00AE47C3">
              <w:rPr>
                <w:szCs w:val="24"/>
              </w:rPr>
              <w:t>за счет средств областного бюджета</w:t>
            </w:r>
          </w:p>
        </w:tc>
        <w:tc>
          <w:tcPr>
            <w:tcW w:w="4231" w:type="dxa"/>
            <w:gridSpan w:val="2"/>
          </w:tcPr>
          <w:p w:rsidR="00A50313" w:rsidRPr="00AE47C3" w:rsidRDefault="00E566EF">
            <w:pPr>
              <w:pStyle w:val="ConsPlusNormal"/>
              <w:jc w:val="center"/>
              <w:rPr>
                <w:szCs w:val="24"/>
              </w:rPr>
            </w:pPr>
            <w:r w:rsidRPr="00AE47C3">
              <w:rPr>
                <w:szCs w:val="24"/>
              </w:rPr>
              <w:t>за счет средств местного бюджета</w:t>
            </w:r>
          </w:p>
        </w:tc>
        <w:tc>
          <w:tcPr>
            <w:tcW w:w="1842" w:type="dxa"/>
            <w:vMerge/>
          </w:tcPr>
          <w:p w:rsidR="00A50313" w:rsidRPr="00AE47C3" w:rsidRDefault="00A50313">
            <w:pPr>
              <w:pStyle w:val="ConsPlusNormal"/>
              <w:rPr>
                <w:szCs w:val="24"/>
              </w:rPr>
            </w:pPr>
          </w:p>
        </w:tc>
      </w:tr>
      <w:tr w:rsidR="00A50313" w:rsidRPr="00B8173B" w:rsidTr="00AE47C3">
        <w:trPr>
          <w:trHeight w:val="1748"/>
        </w:trPr>
        <w:tc>
          <w:tcPr>
            <w:tcW w:w="510" w:type="dxa"/>
            <w:vMerge/>
          </w:tcPr>
          <w:p w:rsidR="00A50313" w:rsidRPr="00AE47C3" w:rsidRDefault="00A50313">
            <w:pPr>
              <w:pStyle w:val="ConsPlusNormal"/>
              <w:rPr>
                <w:szCs w:val="24"/>
              </w:rPr>
            </w:pPr>
          </w:p>
        </w:tc>
        <w:tc>
          <w:tcPr>
            <w:tcW w:w="2381" w:type="dxa"/>
            <w:vMerge/>
          </w:tcPr>
          <w:p w:rsidR="00A50313" w:rsidRPr="00AE47C3" w:rsidRDefault="00A50313">
            <w:pPr>
              <w:pStyle w:val="ConsPlusNormal"/>
              <w:rPr>
                <w:szCs w:val="24"/>
              </w:rPr>
            </w:pPr>
          </w:p>
        </w:tc>
        <w:tc>
          <w:tcPr>
            <w:tcW w:w="1304" w:type="dxa"/>
            <w:vMerge/>
          </w:tcPr>
          <w:p w:rsidR="00A50313" w:rsidRPr="00AE47C3" w:rsidRDefault="00A50313">
            <w:pPr>
              <w:pStyle w:val="ConsPlusNormal"/>
              <w:rPr>
                <w:szCs w:val="24"/>
              </w:rPr>
            </w:pPr>
          </w:p>
        </w:tc>
        <w:tc>
          <w:tcPr>
            <w:tcW w:w="2104" w:type="dxa"/>
          </w:tcPr>
          <w:p w:rsidR="00A50313" w:rsidRPr="00AE47C3" w:rsidRDefault="00E566EF">
            <w:pPr>
              <w:pStyle w:val="ConsPlusNormal"/>
              <w:jc w:val="center"/>
              <w:rPr>
                <w:szCs w:val="24"/>
              </w:rPr>
            </w:pPr>
            <w:r w:rsidRPr="00AE47C3">
              <w:rPr>
                <w:szCs w:val="24"/>
              </w:rPr>
              <w:t>в рамках соглашения о предоставлении иных межбюджетных трансфертов</w:t>
            </w:r>
          </w:p>
        </w:tc>
        <w:tc>
          <w:tcPr>
            <w:tcW w:w="2127" w:type="dxa"/>
          </w:tcPr>
          <w:p w:rsidR="00A50313" w:rsidRPr="00AE47C3" w:rsidRDefault="00E566EF">
            <w:pPr>
              <w:pStyle w:val="ConsPlusNormal"/>
              <w:jc w:val="center"/>
              <w:rPr>
                <w:szCs w:val="24"/>
              </w:rPr>
            </w:pPr>
            <w:r w:rsidRPr="00AE47C3">
              <w:rPr>
                <w:szCs w:val="24"/>
              </w:rPr>
              <w:t>сверх соглашения о предоставлении иных межбюджетных трансфертов</w:t>
            </w:r>
          </w:p>
        </w:tc>
        <w:tc>
          <w:tcPr>
            <w:tcW w:w="1842" w:type="dxa"/>
            <w:vMerge/>
          </w:tcPr>
          <w:p w:rsidR="00A50313" w:rsidRPr="00AE47C3" w:rsidRDefault="00A50313">
            <w:pPr>
              <w:pStyle w:val="ConsPlusNormal"/>
              <w:rPr>
                <w:szCs w:val="24"/>
              </w:rPr>
            </w:pPr>
          </w:p>
        </w:tc>
      </w:tr>
      <w:tr w:rsidR="00A50313" w:rsidRPr="00B8173B" w:rsidTr="00AE47C3">
        <w:tc>
          <w:tcPr>
            <w:tcW w:w="510" w:type="dxa"/>
          </w:tcPr>
          <w:p w:rsidR="00A50313" w:rsidRPr="00AE47C3" w:rsidRDefault="00E566EF">
            <w:pPr>
              <w:pStyle w:val="ConsPlusNormal"/>
              <w:jc w:val="center"/>
              <w:rPr>
                <w:szCs w:val="24"/>
              </w:rPr>
            </w:pPr>
            <w:r w:rsidRPr="00AE47C3">
              <w:rPr>
                <w:szCs w:val="24"/>
              </w:rPr>
              <w:t>1</w:t>
            </w:r>
          </w:p>
        </w:tc>
        <w:tc>
          <w:tcPr>
            <w:tcW w:w="2381" w:type="dxa"/>
          </w:tcPr>
          <w:p w:rsidR="00A50313" w:rsidRPr="00AE47C3" w:rsidRDefault="00E566EF">
            <w:pPr>
              <w:pStyle w:val="ConsPlusNormal"/>
              <w:jc w:val="center"/>
              <w:rPr>
                <w:szCs w:val="24"/>
              </w:rPr>
            </w:pPr>
            <w:r w:rsidRPr="00AE47C3">
              <w:rPr>
                <w:szCs w:val="24"/>
              </w:rPr>
              <w:t>2</w:t>
            </w:r>
          </w:p>
        </w:tc>
        <w:tc>
          <w:tcPr>
            <w:tcW w:w="1304" w:type="dxa"/>
          </w:tcPr>
          <w:p w:rsidR="00A50313" w:rsidRPr="00AE47C3" w:rsidRDefault="00E566EF">
            <w:pPr>
              <w:pStyle w:val="ConsPlusNormal"/>
              <w:jc w:val="center"/>
              <w:rPr>
                <w:szCs w:val="24"/>
              </w:rPr>
            </w:pPr>
            <w:r w:rsidRPr="00AE47C3">
              <w:rPr>
                <w:szCs w:val="24"/>
              </w:rPr>
              <w:t>3</w:t>
            </w:r>
          </w:p>
        </w:tc>
        <w:tc>
          <w:tcPr>
            <w:tcW w:w="2104" w:type="dxa"/>
          </w:tcPr>
          <w:p w:rsidR="00A50313" w:rsidRPr="00AE47C3" w:rsidRDefault="00E566EF">
            <w:pPr>
              <w:pStyle w:val="ConsPlusNormal"/>
              <w:jc w:val="center"/>
              <w:rPr>
                <w:szCs w:val="24"/>
              </w:rPr>
            </w:pPr>
            <w:r w:rsidRPr="00AE47C3">
              <w:rPr>
                <w:szCs w:val="24"/>
              </w:rPr>
              <w:t>4</w:t>
            </w:r>
          </w:p>
        </w:tc>
        <w:tc>
          <w:tcPr>
            <w:tcW w:w="2127" w:type="dxa"/>
          </w:tcPr>
          <w:p w:rsidR="00A50313" w:rsidRPr="00AE47C3" w:rsidRDefault="00E566EF">
            <w:pPr>
              <w:pStyle w:val="ConsPlusNormal"/>
              <w:jc w:val="center"/>
              <w:rPr>
                <w:szCs w:val="24"/>
              </w:rPr>
            </w:pPr>
            <w:r w:rsidRPr="00AE47C3">
              <w:rPr>
                <w:szCs w:val="24"/>
              </w:rPr>
              <w:t>5</w:t>
            </w:r>
          </w:p>
        </w:tc>
        <w:tc>
          <w:tcPr>
            <w:tcW w:w="1842" w:type="dxa"/>
          </w:tcPr>
          <w:p w:rsidR="00A50313" w:rsidRPr="00AE47C3" w:rsidRDefault="00E566EF">
            <w:pPr>
              <w:pStyle w:val="ConsPlusNormal"/>
              <w:jc w:val="center"/>
              <w:rPr>
                <w:szCs w:val="24"/>
              </w:rPr>
            </w:pPr>
            <w:r w:rsidRPr="00AE47C3">
              <w:rPr>
                <w:szCs w:val="24"/>
              </w:rPr>
              <w:t>6</w:t>
            </w:r>
          </w:p>
        </w:tc>
      </w:tr>
      <w:tr w:rsidR="00A50313" w:rsidRPr="00B8173B" w:rsidTr="00AE47C3">
        <w:trPr>
          <w:trHeight w:val="199"/>
        </w:trPr>
        <w:tc>
          <w:tcPr>
            <w:tcW w:w="510" w:type="dxa"/>
          </w:tcPr>
          <w:p w:rsidR="00A50313" w:rsidRPr="00AE47C3" w:rsidRDefault="00A50313">
            <w:pPr>
              <w:pStyle w:val="ConsPlusNormal"/>
              <w:rPr>
                <w:szCs w:val="24"/>
              </w:rPr>
            </w:pPr>
          </w:p>
        </w:tc>
        <w:tc>
          <w:tcPr>
            <w:tcW w:w="2381" w:type="dxa"/>
          </w:tcPr>
          <w:p w:rsidR="00A50313" w:rsidRPr="00AE47C3" w:rsidRDefault="00A50313">
            <w:pPr>
              <w:pStyle w:val="ConsPlusNormal"/>
              <w:rPr>
                <w:szCs w:val="24"/>
              </w:rPr>
            </w:pPr>
          </w:p>
        </w:tc>
        <w:tc>
          <w:tcPr>
            <w:tcW w:w="1304" w:type="dxa"/>
          </w:tcPr>
          <w:p w:rsidR="00A50313" w:rsidRPr="00AE47C3" w:rsidRDefault="00A50313">
            <w:pPr>
              <w:pStyle w:val="ConsPlusNormal"/>
              <w:rPr>
                <w:szCs w:val="24"/>
              </w:rPr>
            </w:pPr>
          </w:p>
        </w:tc>
        <w:tc>
          <w:tcPr>
            <w:tcW w:w="2104" w:type="dxa"/>
          </w:tcPr>
          <w:p w:rsidR="00A50313" w:rsidRPr="00AE47C3" w:rsidRDefault="00A50313">
            <w:pPr>
              <w:pStyle w:val="ConsPlusNormal"/>
              <w:rPr>
                <w:szCs w:val="24"/>
              </w:rPr>
            </w:pPr>
          </w:p>
        </w:tc>
        <w:tc>
          <w:tcPr>
            <w:tcW w:w="2127" w:type="dxa"/>
          </w:tcPr>
          <w:p w:rsidR="00A50313" w:rsidRPr="00AE47C3" w:rsidRDefault="00A50313">
            <w:pPr>
              <w:pStyle w:val="ConsPlusNormal"/>
              <w:rPr>
                <w:szCs w:val="24"/>
              </w:rPr>
            </w:pPr>
          </w:p>
        </w:tc>
        <w:tc>
          <w:tcPr>
            <w:tcW w:w="1842" w:type="dxa"/>
          </w:tcPr>
          <w:p w:rsidR="00A50313" w:rsidRPr="00AE47C3" w:rsidRDefault="00A50313">
            <w:pPr>
              <w:pStyle w:val="ConsPlusNormal"/>
              <w:rPr>
                <w:szCs w:val="24"/>
              </w:rPr>
            </w:pPr>
          </w:p>
        </w:tc>
      </w:tr>
      <w:tr w:rsidR="00A50313" w:rsidRPr="00B8173B" w:rsidTr="00AE47C3">
        <w:trPr>
          <w:trHeight w:val="301"/>
        </w:trPr>
        <w:tc>
          <w:tcPr>
            <w:tcW w:w="2891" w:type="dxa"/>
            <w:gridSpan w:val="2"/>
          </w:tcPr>
          <w:p w:rsidR="00A50313" w:rsidRPr="00AE47C3" w:rsidRDefault="00E566EF">
            <w:pPr>
              <w:pStyle w:val="ConsPlusNormal"/>
              <w:rPr>
                <w:szCs w:val="24"/>
              </w:rPr>
            </w:pPr>
            <w:r w:rsidRPr="00AE47C3">
              <w:rPr>
                <w:szCs w:val="24"/>
              </w:rPr>
              <w:t>Итого</w:t>
            </w:r>
          </w:p>
        </w:tc>
        <w:tc>
          <w:tcPr>
            <w:tcW w:w="1304" w:type="dxa"/>
          </w:tcPr>
          <w:p w:rsidR="00A50313" w:rsidRPr="00AE47C3" w:rsidRDefault="00A50313">
            <w:pPr>
              <w:pStyle w:val="ConsPlusNormal"/>
              <w:rPr>
                <w:szCs w:val="24"/>
              </w:rPr>
            </w:pPr>
          </w:p>
        </w:tc>
        <w:tc>
          <w:tcPr>
            <w:tcW w:w="2104" w:type="dxa"/>
          </w:tcPr>
          <w:p w:rsidR="00A50313" w:rsidRPr="00AE47C3" w:rsidRDefault="00A50313">
            <w:pPr>
              <w:pStyle w:val="ConsPlusNormal"/>
              <w:rPr>
                <w:szCs w:val="24"/>
              </w:rPr>
            </w:pPr>
          </w:p>
        </w:tc>
        <w:tc>
          <w:tcPr>
            <w:tcW w:w="2127" w:type="dxa"/>
          </w:tcPr>
          <w:p w:rsidR="00A50313" w:rsidRPr="00AE47C3" w:rsidRDefault="00A50313">
            <w:pPr>
              <w:pStyle w:val="ConsPlusNormal"/>
              <w:rPr>
                <w:szCs w:val="24"/>
              </w:rPr>
            </w:pPr>
          </w:p>
        </w:tc>
        <w:tc>
          <w:tcPr>
            <w:tcW w:w="1842" w:type="dxa"/>
          </w:tcPr>
          <w:p w:rsidR="00A50313" w:rsidRPr="00AE47C3" w:rsidRDefault="00A50313">
            <w:pPr>
              <w:pStyle w:val="ConsPlusNormal"/>
              <w:rPr>
                <w:szCs w:val="24"/>
              </w:rPr>
            </w:pPr>
          </w:p>
        </w:tc>
      </w:tr>
    </w:tbl>
    <w:p w:rsidR="00AE47C3" w:rsidRDefault="00AE47C3">
      <w:pPr>
        <w:pStyle w:val="ConsPlusNonformat"/>
        <w:jc w:val="both"/>
        <w:rPr>
          <w:rFonts w:ascii="Times New Roman" w:hAnsi="Times New Roman" w:cs="Times New Roman"/>
          <w:sz w:val="28"/>
          <w:szCs w:val="28"/>
        </w:rPr>
      </w:pPr>
    </w:p>
    <w:p w:rsidR="00A50313" w:rsidRPr="00B8173B" w:rsidRDefault="00E566EF">
      <w:pPr>
        <w:pStyle w:val="ConsPlusNonformat"/>
        <w:jc w:val="both"/>
        <w:rPr>
          <w:rFonts w:ascii="Times New Roman" w:hAnsi="Times New Roman" w:cs="Times New Roman"/>
          <w:sz w:val="28"/>
          <w:szCs w:val="28"/>
        </w:rPr>
      </w:pPr>
      <w:r w:rsidRPr="00B8173B">
        <w:rPr>
          <w:rFonts w:ascii="Times New Roman" w:hAnsi="Times New Roman" w:cs="Times New Roman"/>
          <w:sz w:val="28"/>
          <w:szCs w:val="28"/>
        </w:rPr>
        <w:t>Руководитель (уполномоченное</w:t>
      </w:r>
    </w:p>
    <w:p w:rsidR="00A50313" w:rsidRPr="00B8173B" w:rsidRDefault="00E566EF">
      <w:pPr>
        <w:pStyle w:val="ConsPlusNonformat"/>
        <w:jc w:val="both"/>
        <w:rPr>
          <w:rFonts w:ascii="Times New Roman" w:hAnsi="Times New Roman" w:cs="Times New Roman"/>
          <w:sz w:val="28"/>
          <w:szCs w:val="28"/>
        </w:rPr>
      </w:pPr>
      <w:r w:rsidRPr="00B8173B">
        <w:rPr>
          <w:rFonts w:ascii="Times New Roman" w:hAnsi="Times New Roman" w:cs="Times New Roman"/>
          <w:sz w:val="28"/>
          <w:szCs w:val="28"/>
        </w:rPr>
        <w:t>должностное лицо) уполномоченного</w:t>
      </w:r>
    </w:p>
    <w:p w:rsidR="00A50313" w:rsidRPr="00B8173B" w:rsidRDefault="00E566EF">
      <w:pPr>
        <w:pStyle w:val="ConsPlusNonformat"/>
        <w:jc w:val="both"/>
        <w:rPr>
          <w:rFonts w:ascii="Times New Roman" w:hAnsi="Times New Roman" w:cs="Times New Roman"/>
          <w:sz w:val="28"/>
          <w:szCs w:val="28"/>
        </w:rPr>
      </w:pPr>
      <w:r w:rsidRPr="00B8173B">
        <w:rPr>
          <w:rFonts w:ascii="Times New Roman" w:hAnsi="Times New Roman" w:cs="Times New Roman"/>
          <w:sz w:val="28"/>
          <w:szCs w:val="28"/>
        </w:rPr>
        <w:t>органа местного самоуправления</w:t>
      </w:r>
    </w:p>
    <w:p w:rsidR="00A50313" w:rsidRPr="00B8173B" w:rsidRDefault="00E566EF">
      <w:pPr>
        <w:pStyle w:val="ConsPlusNonformat"/>
        <w:jc w:val="both"/>
        <w:rPr>
          <w:rFonts w:ascii="Times New Roman" w:hAnsi="Times New Roman" w:cs="Times New Roman"/>
          <w:sz w:val="28"/>
          <w:szCs w:val="28"/>
        </w:rPr>
      </w:pPr>
      <w:r w:rsidRPr="00B8173B">
        <w:rPr>
          <w:rFonts w:ascii="Times New Roman" w:hAnsi="Times New Roman" w:cs="Times New Roman"/>
          <w:sz w:val="28"/>
          <w:szCs w:val="28"/>
        </w:rPr>
        <w:t>муниципального образования</w:t>
      </w:r>
    </w:p>
    <w:p w:rsidR="00A50313" w:rsidRPr="00B8173B" w:rsidRDefault="00E566EF">
      <w:pPr>
        <w:pStyle w:val="ConsPlusNonformat"/>
        <w:jc w:val="both"/>
        <w:rPr>
          <w:rFonts w:ascii="Times New Roman" w:hAnsi="Times New Roman" w:cs="Times New Roman"/>
          <w:sz w:val="28"/>
          <w:szCs w:val="28"/>
        </w:rPr>
      </w:pPr>
      <w:r w:rsidRPr="00B8173B">
        <w:rPr>
          <w:rFonts w:ascii="Times New Roman" w:hAnsi="Times New Roman" w:cs="Times New Roman"/>
          <w:sz w:val="28"/>
          <w:szCs w:val="28"/>
        </w:rPr>
        <w:t>Ярославской области               _____________   _________________________</w:t>
      </w:r>
    </w:p>
    <w:p w:rsidR="00AE47C3" w:rsidRDefault="00AE47C3">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E566EF" w:rsidRPr="00B8173B">
        <w:rPr>
          <w:rFonts w:ascii="Times New Roman" w:hAnsi="Times New Roman" w:cs="Times New Roman"/>
          <w:sz w:val="28"/>
          <w:szCs w:val="28"/>
        </w:rPr>
        <w:t xml:space="preserve">                             </w:t>
      </w:r>
      <w:r>
        <w:rPr>
          <w:rFonts w:ascii="Times New Roman" w:hAnsi="Times New Roman" w:cs="Times New Roman"/>
          <w:sz w:val="28"/>
          <w:szCs w:val="28"/>
        </w:rPr>
        <w:t xml:space="preserve">                    </w:t>
      </w:r>
      <w:r w:rsidR="00E566EF" w:rsidRPr="00B8173B">
        <w:rPr>
          <w:rFonts w:ascii="Times New Roman" w:hAnsi="Times New Roman" w:cs="Times New Roman"/>
          <w:sz w:val="28"/>
          <w:szCs w:val="28"/>
        </w:rPr>
        <w:t xml:space="preserve">    </w:t>
      </w:r>
      <w:r>
        <w:rPr>
          <w:rFonts w:ascii="Times New Roman" w:hAnsi="Times New Roman" w:cs="Times New Roman"/>
          <w:sz w:val="28"/>
          <w:szCs w:val="28"/>
        </w:rPr>
        <w:t xml:space="preserve"> </w:t>
      </w:r>
      <w:r w:rsidR="00E566EF" w:rsidRPr="00B8173B">
        <w:rPr>
          <w:rFonts w:ascii="Times New Roman" w:hAnsi="Times New Roman" w:cs="Times New Roman"/>
          <w:sz w:val="28"/>
          <w:szCs w:val="28"/>
        </w:rPr>
        <w:t xml:space="preserve"> (</w:t>
      </w:r>
      <w:proofErr w:type="gramStart"/>
      <w:r w:rsidR="00E566EF" w:rsidRPr="00B8173B">
        <w:rPr>
          <w:rFonts w:ascii="Times New Roman" w:hAnsi="Times New Roman" w:cs="Times New Roman"/>
          <w:sz w:val="28"/>
          <w:szCs w:val="28"/>
        </w:rPr>
        <w:t xml:space="preserve">подпись)   </w:t>
      </w:r>
      <w:proofErr w:type="gramEnd"/>
      <w:r w:rsidR="00E566EF" w:rsidRPr="00B8173B">
        <w:rPr>
          <w:rFonts w:ascii="Times New Roman" w:hAnsi="Times New Roman" w:cs="Times New Roman"/>
          <w:sz w:val="28"/>
          <w:szCs w:val="28"/>
        </w:rPr>
        <w:t xml:space="preserve">        </w:t>
      </w:r>
      <w:r>
        <w:rPr>
          <w:rFonts w:ascii="Times New Roman" w:hAnsi="Times New Roman" w:cs="Times New Roman"/>
          <w:sz w:val="28"/>
          <w:szCs w:val="28"/>
        </w:rPr>
        <w:t xml:space="preserve">         </w:t>
      </w:r>
      <w:r w:rsidR="00E566EF" w:rsidRPr="00B8173B">
        <w:rPr>
          <w:rFonts w:ascii="Times New Roman" w:hAnsi="Times New Roman" w:cs="Times New Roman"/>
          <w:sz w:val="28"/>
          <w:szCs w:val="28"/>
        </w:rPr>
        <w:t xml:space="preserve">  (Ф.И.О.)</w:t>
      </w:r>
    </w:p>
    <w:p w:rsidR="00A50313" w:rsidRPr="00B8173B" w:rsidRDefault="00E566EF">
      <w:pPr>
        <w:pStyle w:val="ConsPlusNonformat"/>
        <w:jc w:val="both"/>
        <w:rPr>
          <w:rFonts w:ascii="Times New Roman" w:hAnsi="Times New Roman" w:cs="Times New Roman"/>
          <w:sz w:val="28"/>
          <w:szCs w:val="28"/>
        </w:rPr>
      </w:pPr>
      <w:r w:rsidRPr="00B8173B">
        <w:rPr>
          <w:rFonts w:ascii="Times New Roman" w:hAnsi="Times New Roman" w:cs="Times New Roman"/>
          <w:sz w:val="28"/>
          <w:szCs w:val="28"/>
        </w:rPr>
        <w:t>М.П.</w:t>
      </w:r>
    </w:p>
    <w:p w:rsidR="00A50313" w:rsidRPr="00B8173B" w:rsidRDefault="00E566EF">
      <w:pPr>
        <w:pStyle w:val="ConsPlusNonformat"/>
        <w:jc w:val="both"/>
        <w:rPr>
          <w:rFonts w:ascii="Times New Roman" w:hAnsi="Times New Roman" w:cs="Times New Roman"/>
          <w:sz w:val="28"/>
          <w:szCs w:val="28"/>
        </w:rPr>
      </w:pPr>
      <w:r w:rsidRPr="00B8173B">
        <w:rPr>
          <w:rFonts w:ascii="Times New Roman" w:hAnsi="Times New Roman" w:cs="Times New Roman"/>
          <w:sz w:val="28"/>
          <w:szCs w:val="28"/>
        </w:rPr>
        <w:t>Исполнитель   _____________________________________________________________</w:t>
      </w:r>
    </w:p>
    <w:p w:rsidR="00A50313" w:rsidRPr="00B8173B" w:rsidRDefault="00E566EF">
      <w:pPr>
        <w:pStyle w:val="ConsPlusNonformat"/>
        <w:jc w:val="both"/>
        <w:rPr>
          <w:rFonts w:ascii="Times New Roman" w:hAnsi="Times New Roman" w:cs="Times New Roman"/>
          <w:sz w:val="28"/>
          <w:szCs w:val="28"/>
        </w:rPr>
      </w:pPr>
      <w:r w:rsidRPr="00B8173B">
        <w:rPr>
          <w:rFonts w:ascii="Times New Roman" w:hAnsi="Times New Roman" w:cs="Times New Roman"/>
          <w:sz w:val="28"/>
          <w:szCs w:val="28"/>
        </w:rPr>
        <w:t xml:space="preserve">                                   (Ф.И.О., телефон)</w:t>
      </w:r>
    </w:p>
    <w:p w:rsidR="00A50313" w:rsidRPr="00B8173B" w:rsidRDefault="00A50313">
      <w:pPr>
        <w:pStyle w:val="ConsPlusNormal"/>
        <w:rPr>
          <w:sz w:val="28"/>
          <w:szCs w:val="28"/>
        </w:rPr>
      </w:pPr>
    </w:p>
    <w:sectPr w:rsidR="00A50313" w:rsidRPr="00B8173B" w:rsidSect="00D13A3D">
      <w:headerReference w:type="default" r:id="rId8"/>
      <w:headerReference w:type="first" r:id="rId9"/>
      <w:pgSz w:w="11906" w:h="16838"/>
      <w:pgMar w:top="1440" w:right="566" w:bottom="1440" w:left="1133"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A3D" w:rsidRDefault="00D13A3D" w:rsidP="00D13A3D">
      <w:r>
        <w:separator/>
      </w:r>
    </w:p>
  </w:endnote>
  <w:endnote w:type="continuationSeparator" w:id="0">
    <w:p w:rsidR="00D13A3D" w:rsidRDefault="00D13A3D" w:rsidP="00D1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A3D" w:rsidRDefault="00D13A3D" w:rsidP="00D13A3D">
      <w:r>
        <w:separator/>
      </w:r>
    </w:p>
  </w:footnote>
  <w:footnote w:type="continuationSeparator" w:id="0">
    <w:p w:rsidR="00D13A3D" w:rsidRDefault="00D13A3D" w:rsidP="00D1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294586"/>
      <w:docPartObj>
        <w:docPartGallery w:val="Page Numbers (Top of Page)"/>
        <w:docPartUnique/>
      </w:docPartObj>
    </w:sdtPr>
    <w:sdtEndPr>
      <w:rPr>
        <w:rFonts w:ascii="Times New Roman" w:hAnsi="Times New Roman" w:cs="Times New Roman"/>
        <w:sz w:val="24"/>
        <w:szCs w:val="24"/>
      </w:rPr>
    </w:sdtEndPr>
    <w:sdtContent>
      <w:p w:rsidR="00D13A3D" w:rsidRDefault="00D13A3D">
        <w:pPr>
          <w:pStyle w:val="a3"/>
          <w:jc w:val="center"/>
        </w:pPr>
      </w:p>
      <w:p w:rsidR="00D13A3D" w:rsidRDefault="00D13A3D">
        <w:pPr>
          <w:pStyle w:val="a3"/>
          <w:jc w:val="center"/>
        </w:pPr>
      </w:p>
      <w:p w:rsidR="00D13A3D" w:rsidRDefault="00D13A3D">
        <w:pPr>
          <w:pStyle w:val="a3"/>
          <w:jc w:val="center"/>
        </w:pPr>
      </w:p>
      <w:p w:rsidR="00D13A3D" w:rsidRPr="002738EF" w:rsidRDefault="00D13A3D">
        <w:pPr>
          <w:pStyle w:val="a3"/>
          <w:jc w:val="center"/>
          <w:rPr>
            <w:rFonts w:ascii="Times New Roman" w:hAnsi="Times New Roman" w:cs="Times New Roman"/>
            <w:sz w:val="24"/>
            <w:szCs w:val="24"/>
          </w:rPr>
        </w:pPr>
        <w:r w:rsidRPr="002738EF">
          <w:rPr>
            <w:rFonts w:ascii="Times New Roman" w:hAnsi="Times New Roman" w:cs="Times New Roman"/>
            <w:sz w:val="24"/>
            <w:szCs w:val="24"/>
          </w:rPr>
          <w:fldChar w:fldCharType="begin"/>
        </w:r>
        <w:r w:rsidRPr="002738EF">
          <w:rPr>
            <w:rFonts w:ascii="Times New Roman" w:hAnsi="Times New Roman" w:cs="Times New Roman"/>
            <w:sz w:val="24"/>
            <w:szCs w:val="24"/>
          </w:rPr>
          <w:instrText>PAGE   \* MERGEFORMAT</w:instrText>
        </w:r>
        <w:r w:rsidRPr="002738EF">
          <w:rPr>
            <w:rFonts w:ascii="Times New Roman" w:hAnsi="Times New Roman" w:cs="Times New Roman"/>
            <w:sz w:val="24"/>
            <w:szCs w:val="24"/>
          </w:rPr>
          <w:fldChar w:fldCharType="separate"/>
        </w:r>
        <w:r w:rsidR="00C55F33">
          <w:rPr>
            <w:rFonts w:ascii="Times New Roman" w:hAnsi="Times New Roman" w:cs="Times New Roman"/>
            <w:noProof/>
            <w:sz w:val="24"/>
            <w:szCs w:val="24"/>
          </w:rPr>
          <w:t>2</w:t>
        </w:r>
        <w:r w:rsidRPr="002738EF">
          <w:rPr>
            <w:rFonts w:ascii="Times New Roman" w:hAnsi="Times New Roman" w:cs="Times New Roman"/>
            <w:sz w:val="24"/>
            <w:szCs w:val="24"/>
          </w:rPr>
          <w:fldChar w:fldCharType="end"/>
        </w:r>
      </w:p>
    </w:sdtContent>
  </w:sdt>
  <w:p w:rsidR="00D13A3D" w:rsidRDefault="00D13A3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402282"/>
      <w:docPartObj>
        <w:docPartGallery w:val="Page Numbers (Top of Page)"/>
        <w:docPartUnique/>
      </w:docPartObj>
    </w:sdtPr>
    <w:sdtEndPr/>
    <w:sdtContent>
      <w:p w:rsidR="00D13A3D" w:rsidRDefault="00D13A3D">
        <w:pPr>
          <w:pStyle w:val="a3"/>
          <w:jc w:val="center"/>
        </w:pPr>
      </w:p>
      <w:p w:rsidR="00D13A3D" w:rsidRDefault="00D13A3D">
        <w:pPr>
          <w:pStyle w:val="a3"/>
          <w:jc w:val="center"/>
        </w:pPr>
      </w:p>
      <w:p w:rsidR="00D13A3D" w:rsidRDefault="00D13A3D">
        <w:pPr>
          <w:pStyle w:val="a3"/>
          <w:jc w:val="center"/>
        </w:pPr>
      </w:p>
      <w:p w:rsidR="00D13A3D" w:rsidRDefault="00C55F33">
        <w:pPr>
          <w:pStyle w:val="a3"/>
          <w:jc w:val="center"/>
        </w:pPr>
      </w:p>
    </w:sdtContent>
  </w:sdt>
  <w:p w:rsidR="00D13A3D" w:rsidRDefault="00D13A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313"/>
    <w:rsid w:val="002738EF"/>
    <w:rsid w:val="005241D7"/>
    <w:rsid w:val="00A50313"/>
    <w:rsid w:val="00AE47C3"/>
    <w:rsid w:val="00B31420"/>
    <w:rsid w:val="00B8173B"/>
    <w:rsid w:val="00C55F33"/>
    <w:rsid w:val="00D13A3D"/>
    <w:rsid w:val="00E56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1517E"/>
  <w15:docId w15:val="{E6A4029C-5E0B-45B0-8EAD-02D952DF1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styleId="a3">
    <w:name w:val="header"/>
    <w:basedOn w:val="a"/>
    <w:link w:val="a4"/>
    <w:uiPriority w:val="99"/>
    <w:unhideWhenUsed/>
    <w:rsid w:val="00D13A3D"/>
    <w:pPr>
      <w:tabs>
        <w:tab w:val="center" w:pos="4677"/>
        <w:tab w:val="right" w:pos="9355"/>
      </w:tabs>
    </w:pPr>
  </w:style>
  <w:style w:type="character" w:customStyle="1" w:styleId="a4">
    <w:name w:val="Верхний колонтитул Знак"/>
    <w:basedOn w:val="a0"/>
    <w:link w:val="a3"/>
    <w:uiPriority w:val="99"/>
    <w:rsid w:val="00D13A3D"/>
  </w:style>
  <w:style w:type="paragraph" w:styleId="a5">
    <w:name w:val="footer"/>
    <w:basedOn w:val="a"/>
    <w:link w:val="a6"/>
    <w:uiPriority w:val="99"/>
    <w:unhideWhenUsed/>
    <w:rsid w:val="00D13A3D"/>
    <w:pPr>
      <w:tabs>
        <w:tab w:val="center" w:pos="4677"/>
        <w:tab w:val="right" w:pos="9355"/>
      </w:tabs>
    </w:pPr>
  </w:style>
  <w:style w:type="character" w:customStyle="1" w:styleId="a6">
    <w:name w:val="Нижний колонтитул Знак"/>
    <w:basedOn w:val="a0"/>
    <w:link w:val="a5"/>
    <w:uiPriority w:val="99"/>
    <w:rsid w:val="00D13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2542</Words>
  <Characters>14494</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ЯО от 19.03.2024 N 311-п
(ред. от 26.08.2025)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vt:lpstr>
    </vt:vector>
  </TitlesOfParts>
  <Company>КонсультантПлюс Версия 4024.00.50</Company>
  <LinksUpToDate>false</LinksUpToDate>
  <CharactersWithSpaces>17002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ЯО от 19.03.2024 N 311-п
(ред. от 26.08.2025)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 и о признании утратившими силу и частично утратившими силу отдельных постановлений Правительства Ярославской области"</dc:title>
  <dc:creator>Гусева Любовь Геннадьевна</dc:creator>
  <cp:lastModifiedBy>Артемова Марина Викторовна</cp:lastModifiedBy>
  <cp:revision>6</cp:revision>
  <dcterms:created xsi:type="dcterms:W3CDTF">2025-10-25T09:32:00Z</dcterms:created>
  <dcterms:modified xsi:type="dcterms:W3CDTF">2025-10-25T12:39:00Z</dcterms:modified>
</cp:coreProperties>
</file>